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8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  <w:gridCol w:w="416"/>
      </w:tblGrid>
      <w:tr w:rsidR="00523D82" w:rsidRPr="00EC5AB6" w14:paraId="78370C21" w14:textId="77777777" w:rsidTr="00E56A65">
        <w:tc>
          <w:tcPr>
            <w:tcW w:w="4786" w:type="dxa"/>
            <w:hideMark/>
          </w:tcPr>
          <w:p w14:paraId="235FF621" w14:textId="77777777" w:rsidR="007E1D85" w:rsidRPr="00EC5AB6" w:rsidRDefault="007E1D85" w:rsidP="00CC15D5">
            <w:pPr>
              <w:widowControl w:val="0"/>
              <w:spacing w:after="0" w:line="240" w:lineRule="auto"/>
              <w:ind w:hanging="142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14:paraId="33720D35" w14:textId="77777777" w:rsidR="00E56A65" w:rsidRPr="00EC5AB6" w:rsidRDefault="00E56A65" w:rsidP="00E56A6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14:paraId="39716D17" w14:textId="77777777" w:rsidR="00E56A65" w:rsidRPr="00EC5AB6" w:rsidRDefault="00E56A65" w:rsidP="00E56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14:paraId="2FDB61D2" w14:textId="69CB998F" w:rsidR="00E56A65" w:rsidRPr="00EC5AB6" w:rsidRDefault="0076642B" w:rsidP="00E56A65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РГУ «Комитет Медицинского и фармацевтического контроля  МЗ РК»</w:t>
            </w:r>
          </w:p>
          <w:p w14:paraId="0E448803" w14:textId="77777777" w:rsidR="00E56A65" w:rsidRPr="00EC5AB6" w:rsidRDefault="00E56A65" w:rsidP="00E56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»_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__________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_20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_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_г.</w:t>
            </w:r>
          </w:p>
          <w:p w14:paraId="7622A2F1" w14:textId="77777777" w:rsidR="00523D82" w:rsidRPr="00EC5AB6" w:rsidRDefault="00E56A65" w:rsidP="00E56A65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№ ______________</w:t>
            </w:r>
          </w:p>
        </w:tc>
        <w:tc>
          <w:tcPr>
            <w:tcW w:w="416" w:type="dxa"/>
          </w:tcPr>
          <w:p w14:paraId="29D1FF2C" w14:textId="77777777" w:rsidR="00523D82" w:rsidRPr="00EC5AB6" w:rsidRDefault="00D46B0B" w:rsidP="007856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23D82" w:rsidRPr="00EC5AB6" w14:paraId="163B50D0" w14:textId="77777777" w:rsidTr="00E56A65">
        <w:tc>
          <w:tcPr>
            <w:tcW w:w="4786" w:type="dxa"/>
          </w:tcPr>
          <w:p w14:paraId="72D94353" w14:textId="77777777" w:rsidR="00523D82" w:rsidRPr="00EC5AB6" w:rsidRDefault="00523D82" w:rsidP="0078568D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13F8B261" w14:textId="77777777" w:rsidR="00523D82" w:rsidRPr="00EC5AB6" w:rsidRDefault="00523D82" w:rsidP="0078568D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</w:tcPr>
          <w:p w14:paraId="46DFE404" w14:textId="77777777" w:rsidR="00523D82" w:rsidRPr="00EC5AB6" w:rsidRDefault="00523D82" w:rsidP="0078568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14:paraId="7C97E97D" w14:textId="77777777" w:rsidR="00280121" w:rsidRPr="00EC5AB6" w:rsidRDefault="00280121" w:rsidP="0078568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E56DDF" w14:textId="77777777" w:rsidR="00D76048" w:rsidRPr="00EC5AB6" w:rsidRDefault="00506C9D" w:rsidP="0078568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7EB501D0" w14:textId="77777777" w:rsidR="00CC15D5" w:rsidRPr="00EC5AB6" w:rsidRDefault="00CC15D5" w:rsidP="0078568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1387DF" w14:textId="77777777" w:rsidR="00280121" w:rsidRPr="00EC5AB6" w:rsidRDefault="00DB406A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14:paraId="65501A80" w14:textId="77777777" w:rsidR="00B01011" w:rsidRPr="00EC5AB6" w:rsidRDefault="00C25DE4" w:rsidP="00CC15D5">
      <w:pPr>
        <w:tabs>
          <w:tab w:val="left" w:pos="30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</w:rPr>
        <w:t>МОТИГАСТ–</w:t>
      </w:r>
      <w:r w:rsidR="00CC15D5" w:rsidRPr="00EC5AB6">
        <w:rPr>
          <w:rFonts w:ascii="Times New Roman" w:hAnsi="Times New Roman"/>
          <w:sz w:val="24"/>
          <w:szCs w:val="24"/>
          <w:lang w:val="en-US"/>
        </w:rPr>
        <w:t>S</w:t>
      </w:r>
      <w:r w:rsidR="00CC15D5" w:rsidRPr="00EC5AB6">
        <w:rPr>
          <w:rFonts w:ascii="Times New Roman" w:hAnsi="Times New Roman"/>
          <w:sz w:val="24"/>
          <w:szCs w:val="24"/>
        </w:rPr>
        <w:t>, суспензия для приема внутрь</w:t>
      </w:r>
      <w:r w:rsidR="00D518BE" w:rsidRPr="00EC5AB6">
        <w:rPr>
          <w:rFonts w:ascii="Times New Roman" w:hAnsi="Times New Roman"/>
          <w:sz w:val="24"/>
          <w:szCs w:val="24"/>
        </w:rPr>
        <w:t>, 1мг/мл</w:t>
      </w:r>
    </w:p>
    <w:p w14:paraId="4D158BF3" w14:textId="77777777" w:rsidR="00CC15D5" w:rsidRPr="00EC5AB6" w:rsidRDefault="00CC15D5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A6BA59" w14:textId="77777777" w:rsidR="003C07E3" w:rsidRPr="00EC5AB6" w:rsidRDefault="003C07E3" w:rsidP="007856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2175220285"/>
      <w:bookmarkStart w:id="2" w:name="OCRUncertain022"/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bookmarkEnd w:id="1"/>
    <w:p w14:paraId="6D47D6B3" w14:textId="77777777" w:rsidR="001872CE" w:rsidRPr="00EC5AB6" w:rsidRDefault="001872CE" w:rsidP="0078568D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C5AB6">
        <w:rPr>
          <w:rFonts w:ascii="Times New Roman" w:eastAsia="TimesNewRomanPSMT" w:hAnsi="Times New Roman"/>
          <w:sz w:val="24"/>
          <w:szCs w:val="24"/>
          <w:lang w:eastAsia="ru-RU"/>
        </w:rPr>
        <w:t>2.1 Общее описание</w:t>
      </w:r>
      <w:r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8048038" w14:textId="77777777" w:rsidR="00B15E36" w:rsidRPr="00EC5AB6" w:rsidRDefault="009C229A" w:rsidP="0078568D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Домперидон </w:t>
      </w:r>
    </w:p>
    <w:p w14:paraId="5FB7D376" w14:textId="77777777" w:rsidR="00D60C5A" w:rsidRPr="00EC5AB6" w:rsidRDefault="00D60C5A" w:rsidP="0078568D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C5AB6">
        <w:rPr>
          <w:rFonts w:ascii="Times New Roman" w:eastAsia="TimesNewRomanPSMT" w:hAnsi="Times New Roman"/>
          <w:sz w:val="24"/>
          <w:szCs w:val="24"/>
          <w:lang w:eastAsia="ru-RU"/>
        </w:rPr>
        <w:t>2.2 Качественный и количественный состав</w:t>
      </w:r>
    </w:p>
    <w:p w14:paraId="2A383E18" w14:textId="77777777" w:rsidR="00A074C5" w:rsidRPr="00EC5AB6" w:rsidRDefault="009C229A" w:rsidP="007856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Один мл суспензии </w:t>
      </w:r>
      <w:r w:rsidR="00A074C5"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содержит </w:t>
      </w:r>
    </w:p>
    <w:p w14:paraId="4AB2EB98" w14:textId="77777777" w:rsidR="00A074C5" w:rsidRPr="00EC5AB6" w:rsidRDefault="009C229A" w:rsidP="009C229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активное вещество </w:t>
      </w:r>
      <w:r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>– домперидон 1 мг,</w:t>
      </w:r>
    </w:p>
    <w:p w14:paraId="4D050DFE" w14:textId="2596743A" w:rsidR="00D60C5A" w:rsidRPr="00EC5AB6" w:rsidRDefault="00B1744F" w:rsidP="00B174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>Вспомогательные вещества, наличие которых надо учитывать в составе лекарственного препарата</w:t>
      </w:r>
      <w:r w:rsidR="003D1C14"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65390" w:rsidRPr="00EC5AB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9C229A" w:rsidRPr="00EC5AB6">
        <w:rPr>
          <w:rFonts w:ascii="Times New Roman" w:hAnsi="Times New Roman"/>
          <w:iCs/>
          <w:sz w:val="24"/>
          <w:szCs w:val="24"/>
          <w:lang w:eastAsia="ru-RU"/>
        </w:rPr>
        <w:t>сукроза, натрия бензоат, натрия метилгидроксибензоат, натрия пропилгидроксибензоат, сорбитол жидкий (не кристаллизующийся 70 %).</w:t>
      </w:r>
    </w:p>
    <w:p w14:paraId="55F6B911" w14:textId="77777777" w:rsidR="003C07E3" w:rsidRPr="00EC5AB6" w:rsidRDefault="00E75FFF" w:rsidP="007856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EC5AB6">
        <w:rPr>
          <w:rFonts w:ascii="Times New Roman" w:hAnsi="Times New Roman"/>
          <w:sz w:val="24"/>
          <w:szCs w:val="24"/>
          <w:lang w:eastAsia="ru-RU"/>
        </w:rPr>
        <w:t>.</w:t>
      </w:r>
    </w:p>
    <w:p w14:paraId="75269B50" w14:textId="77777777" w:rsidR="009C229A" w:rsidRPr="00EC5AB6" w:rsidRDefault="009C229A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521399B" w14:textId="77777777" w:rsidR="00B7231F" w:rsidRPr="00EC5AB6" w:rsidRDefault="00B7231F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86"/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3"/>
    <w:p w14:paraId="46ABDEBA" w14:textId="77777777" w:rsidR="009C229A" w:rsidRPr="00EC5AB6" w:rsidRDefault="009C229A" w:rsidP="0078568D">
      <w:pPr>
        <w:pStyle w:val="Default"/>
        <w:jc w:val="both"/>
        <w:rPr>
          <w:spacing w:val="-4"/>
        </w:rPr>
      </w:pPr>
      <w:r w:rsidRPr="00EC5AB6">
        <w:rPr>
          <w:spacing w:val="-4"/>
        </w:rPr>
        <w:t>Суспензия для приема внутрь.</w:t>
      </w:r>
    </w:p>
    <w:p w14:paraId="4A8C633B" w14:textId="77777777" w:rsidR="009C229A" w:rsidRPr="00EC5AB6" w:rsidRDefault="009C229A" w:rsidP="009C229A">
      <w:pPr>
        <w:pStyle w:val="Default"/>
        <w:jc w:val="both"/>
        <w:rPr>
          <w:bCs/>
          <w:snapToGrid w:val="0"/>
          <w:lang w:eastAsia="ru-RU"/>
        </w:rPr>
      </w:pPr>
      <w:r w:rsidRPr="00EC5AB6">
        <w:rPr>
          <w:bCs/>
          <w:snapToGrid w:val="0"/>
          <w:lang w:eastAsia="ru-RU"/>
        </w:rPr>
        <w:t>Суспензия розового цвета.</w:t>
      </w:r>
    </w:p>
    <w:p w14:paraId="06C7AA39" w14:textId="77777777" w:rsidR="009C229A" w:rsidRPr="00EC5AB6" w:rsidRDefault="009C229A" w:rsidP="009C229A">
      <w:pPr>
        <w:pStyle w:val="Default"/>
        <w:jc w:val="both"/>
        <w:rPr>
          <w:b/>
          <w:bCs/>
          <w:snapToGrid w:val="0"/>
          <w:lang w:eastAsia="ru-RU"/>
        </w:rPr>
      </w:pPr>
    </w:p>
    <w:p w14:paraId="34DA13BD" w14:textId="77777777" w:rsidR="002C1660" w:rsidRPr="00EC5AB6" w:rsidRDefault="00B7231F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2"/>
      <w:r w:rsidR="00384EFD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14:paraId="2D341AFE" w14:textId="77777777" w:rsidR="009C229A" w:rsidRPr="00EC5AB6" w:rsidRDefault="00B7231F" w:rsidP="0078568D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EC5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EC5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EC5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EC5A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14:paraId="42FC5A3D" w14:textId="77777777" w:rsidR="00B15E36" w:rsidRPr="00EC5AB6" w:rsidRDefault="00B15E36" w:rsidP="00B15E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- для облегчения симптомов тошноты и рвоты</w:t>
      </w:r>
    </w:p>
    <w:p w14:paraId="661EB970" w14:textId="77777777" w:rsidR="00B15E36" w:rsidRPr="00EC5AB6" w:rsidRDefault="00B15E36" w:rsidP="0078568D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BCF160" w14:textId="77777777" w:rsidR="00B7231F" w:rsidRPr="00EC5AB6" w:rsidRDefault="00B7231F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4" w:name="2175220274"/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4284DB19" w14:textId="77777777" w:rsidR="00891EB8" w:rsidRPr="00EC5AB6" w:rsidRDefault="00B7231F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Режим дозирования </w:t>
      </w:r>
    </w:p>
    <w:bookmarkEnd w:id="4"/>
    <w:p w14:paraId="7DD62525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Домперидон следует использовать в минимальной эффективной дозе в течение кратчайшего времени, необходимого для контроля тошноты и рвоты.</w:t>
      </w:r>
    </w:p>
    <w:p w14:paraId="1B5BFF32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Рекомендуется принимать домперидон внутрь перед едой. При приёме после еды всасывание препарата несколько замедляется.</w:t>
      </w:r>
    </w:p>
    <w:p w14:paraId="3359D34B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Следует принимать каждую дозу в назначенное время. Если запланированная доза пропущена, её следует исключить, возобновив назначенный режим приема. Пропущенную дозу препарата не следует удваивать, чтобы компенсировать пропущенный приём.</w:t>
      </w:r>
    </w:p>
    <w:p w14:paraId="180BAB95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Максимальная продолжительность лечения не должна превышать одной недели.</w:t>
      </w:r>
    </w:p>
    <w:p w14:paraId="12C2239C" w14:textId="77777777" w:rsidR="006619C8" w:rsidRPr="00EC5AB6" w:rsidRDefault="006619C8" w:rsidP="006619C8">
      <w:pPr>
        <w:pStyle w:val="a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</w:rPr>
        <w:t>МОТИГАСТ-</w:t>
      </w:r>
      <w:r w:rsidRPr="00EC5AB6">
        <w:rPr>
          <w:rFonts w:ascii="Times New Roman" w:hAnsi="Times New Roman"/>
          <w:sz w:val="24"/>
          <w:szCs w:val="24"/>
          <w:lang w:val="en-US"/>
        </w:rPr>
        <w:t>S</w:t>
      </w:r>
      <w:r w:rsidRPr="00EC5AB6">
        <w:rPr>
          <w:rFonts w:ascii="Times New Roman" w:hAnsi="Times New Roman"/>
          <w:sz w:val="24"/>
          <w:szCs w:val="24"/>
        </w:rPr>
        <w:t xml:space="preserve"> в форме суспензии рекомендуется использовать в детской практике (особенно детям в возрасте до 5 лет). Препарат назначают внутрь за 15-30 мин. до еды. 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Перед применением взболтать.</w:t>
      </w:r>
    </w:p>
    <w:p w14:paraId="3CDCDF27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Взрослые и подростки (от 12 лет и старше </w:t>
      </w:r>
      <w:r w:rsidRPr="00EC5AB6">
        <w:rPr>
          <w:rFonts w:ascii="Times New Roman" w:hAnsi="Times New Roman"/>
          <w:i/>
          <w:color w:val="000000"/>
          <w:sz w:val="24"/>
          <w:szCs w:val="24"/>
        </w:rPr>
        <w:t>с массой тела</w:t>
      </w:r>
      <w:r w:rsidRPr="00EC5A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35 кг и более)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69BFF3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10 мл (суспензия для приема внутрь 1 мг/мл) до трех раз в день с максимальной дозой 30 мл в день.</w:t>
      </w:r>
    </w:p>
    <w:p w14:paraId="73F58C84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 xml:space="preserve">Дети до 12 лет и с </w:t>
      </w:r>
      <w:r w:rsidRPr="00EC5AB6">
        <w:rPr>
          <w:rFonts w:ascii="Times New Roman" w:hAnsi="Times New Roman"/>
          <w:i/>
          <w:sz w:val="24"/>
          <w:szCs w:val="24"/>
          <w:lang w:val="kk-KZ"/>
        </w:rPr>
        <w:t>массой</w:t>
      </w:r>
      <w:r w:rsidRPr="00EC5AB6">
        <w:rPr>
          <w:rFonts w:ascii="Times New Roman" w:hAnsi="Times New Roman"/>
          <w:i/>
          <w:sz w:val="24"/>
          <w:szCs w:val="24"/>
        </w:rPr>
        <w:t xml:space="preserve"> тела менее 35 кг</w:t>
      </w:r>
    </w:p>
    <w:p w14:paraId="2E1C897C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0,25 мг/кг до 3 раз в день, максимально 0,75 мг/кг в день. </w:t>
      </w:r>
    </w:p>
    <w:p w14:paraId="17D320B5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</w:rPr>
        <w:lastRenderedPageBreak/>
        <w:t>Детям весом 10 кг, дозировка составляет 2,5 мл, т.е. 2,5 мг, которые можно принимать три раза в день с максимальной дозировкой 7,5 мг в день.</w:t>
      </w:r>
    </w:p>
    <w:p w14:paraId="199A7E3F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группы пациентов</w:t>
      </w:r>
    </w:p>
    <w:p w14:paraId="56E9FD18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5" w:name="bookmark19"/>
      <w:r w:rsidRPr="00EC5AB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Пациенты с печеночной недостаточностью</w:t>
      </w:r>
      <w:bookmarkEnd w:id="5"/>
    </w:p>
    <w:p w14:paraId="699F6320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bookmarkStart w:id="6" w:name="bookmark20"/>
      <w:r w:rsidRPr="00EC5AB6">
        <w:rPr>
          <w:rFonts w:ascii="Times New Roman" w:hAnsi="Times New Roman"/>
          <w:sz w:val="24"/>
          <w:szCs w:val="24"/>
        </w:rPr>
        <w:t>Домперидон противопоказан при умеренной или тяжёлой печёночной недостаточности. Однако при лёгкой печёночной недостаточности коррекции дозы не требуется.</w:t>
      </w:r>
    </w:p>
    <w:p w14:paraId="22AAA190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r w:rsidRPr="00EC5AB6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Пациенты с почечной недостаточностью</w:t>
      </w:r>
      <w:bookmarkEnd w:id="6"/>
    </w:p>
    <w:p w14:paraId="0704CA1D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Поскольку период полувыведения домперидона увеличивается при тяжелой почечной недостаточности, при повторном приеме частоту приема пероральной суспензии домперидона следует снизить до одного или двух раз в день, в зависимости от степени выраженности нарушения, и может потребоваться уменьшение дозы.  Такие пациенты на длительной терапии должны регулярно обследоваться.</w:t>
      </w:r>
    </w:p>
    <w:p w14:paraId="5DCA61DF" w14:textId="77777777" w:rsidR="009F5A85" w:rsidRPr="00EC5AB6" w:rsidRDefault="009F5A85" w:rsidP="007856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5AB6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14:paraId="38198FB7" w14:textId="77777777" w:rsidR="00F42D3C" w:rsidRPr="00EC5AB6" w:rsidRDefault="00EB657A" w:rsidP="0078568D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r w:rsidRPr="00EC5AB6">
        <w:rPr>
          <w:rFonts w:ascii="Times New Roman" w:hAnsi="Times New Roman"/>
          <w:sz w:val="24"/>
          <w:szCs w:val="24"/>
        </w:rPr>
        <w:t xml:space="preserve">Пероральный. </w:t>
      </w:r>
      <w:r w:rsidR="009F5A85" w:rsidRPr="00EC5AB6">
        <w:rPr>
          <w:rFonts w:ascii="Times New Roman" w:eastAsia="Microsoft Sans Serif" w:hAnsi="Times New Roman"/>
          <w:sz w:val="24"/>
          <w:szCs w:val="24"/>
          <w:lang w:bidi="ru-RU"/>
        </w:rPr>
        <w:t xml:space="preserve"> </w:t>
      </w:r>
    </w:p>
    <w:p w14:paraId="47AB21F1" w14:textId="77777777" w:rsidR="0078568D" w:rsidRPr="00EC5AB6" w:rsidRDefault="0078568D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41F8D0" w14:textId="77777777" w:rsidR="007D0E84" w:rsidRPr="00EC5AB6" w:rsidRDefault="00DB406A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14:paraId="7CF30A5E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Домперидон противопоказан в следующих случаях:</w:t>
      </w:r>
    </w:p>
    <w:p w14:paraId="12E1AAF1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- гиперчувствительность к домперидону или любому из вспомогательных веществ</w:t>
      </w:r>
    </w:p>
    <w:p w14:paraId="76679D83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- пролактин-секрутирующие опухоли гипофиза (пролактинома)</w:t>
      </w:r>
    </w:p>
    <w:p w14:paraId="0012B31D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- желудочно-кишечное кровотечение, механическая обструкция или перфорация, при которых стимуляция  двигательной функции желудка может быть опасна</w:t>
      </w:r>
    </w:p>
    <w:p w14:paraId="686E1136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- умеренная или тяжёлая печёночная недостаточность</w:t>
      </w:r>
    </w:p>
    <w:p w14:paraId="61972EDD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- пациентам с диагностированным удлинением интервалов сердечной проводимости, в частности QT, со значительными нарушениями электролитного баланса или сердечными заболеваниями, такими как застойная сердечная недостаточность</w:t>
      </w:r>
    </w:p>
    <w:p w14:paraId="7FEDD17D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- одновременное применение с препаратами, удлиняющими интервал </w:t>
      </w:r>
      <w:r w:rsidRPr="00EC5AB6">
        <w:rPr>
          <w:rFonts w:ascii="Times New Roman" w:hAnsi="Times New Roman"/>
          <w:i/>
          <w:sz w:val="24"/>
          <w:szCs w:val="24"/>
        </w:rPr>
        <w:t>QT,</w:t>
      </w:r>
      <w:r w:rsidRPr="00EC5AB6">
        <w:rPr>
          <w:rFonts w:ascii="Times New Roman" w:hAnsi="Times New Roman"/>
          <w:sz w:val="24"/>
          <w:szCs w:val="24"/>
        </w:rPr>
        <w:t xml:space="preserve"> за исключением апоморфина</w:t>
      </w:r>
    </w:p>
    <w:p w14:paraId="618A9641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- одновременное применение с мощными ингибиторами CYP3A4 (независимо от их эффекта удлинения интервала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>)</w:t>
      </w:r>
    </w:p>
    <w:p w14:paraId="1CB3208B" w14:textId="77777777" w:rsidR="00057A2D" w:rsidRPr="00EC5AB6" w:rsidRDefault="00057A2D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F441AD" w14:textId="77777777" w:rsidR="00B10089" w:rsidRPr="00EC5AB6" w:rsidRDefault="00DB406A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EC5AB6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14:paraId="1B8840C6" w14:textId="77777777" w:rsidR="00844127" w:rsidRPr="00EC5AB6" w:rsidRDefault="00844127" w:rsidP="00A459B4">
      <w:pPr>
        <w:spacing w:after="0" w:line="240" w:lineRule="auto"/>
        <w:jc w:val="both"/>
        <w:rPr>
          <w:rFonts w:ascii="Times New Roman" w:eastAsia="Malgun Gothic" w:hAnsi="Times New Roman"/>
          <w:i/>
          <w:color w:val="000000"/>
          <w:sz w:val="24"/>
          <w:szCs w:val="24"/>
          <w:lang w:eastAsia="ko-KR"/>
        </w:rPr>
      </w:pPr>
      <w:r w:rsidRPr="00EC5AB6">
        <w:rPr>
          <w:rFonts w:ascii="Times New Roman" w:eastAsia="Malgun Gothic" w:hAnsi="Times New Roman"/>
          <w:i/>
          <w:color w:val="000000"/>
          <w:sz w:val="24"/>
          <w:szCs w:val="24"/>
          <w:lang w:eastAsia="ko-KR"/>
        </w:rPr>
        <w:t xml:space="preserve">Применение у детей </w:t>
      </w:r>
    </w:p>
    <w:p w14:paraId="5529A4E0" w14:textId="77777777" w:rsidR="00A459B4" w:rsidRPr="00EC5AB6" w:rsidRDefault="00A459B4" w:rsidP="00A459B4">
      <w:pPr>
        <w:spacing w:after="0" w:line="240" w:lineRule="auto"/>
        <w:jc w:val="both"/>
        <w:rPr>
          <w:rFonts w:ascii="Times New Roman" w:eastAsia="Malgun Gothic" w:hAnsi="Times New Roman"/>
          <w:color w:val="000000"/>
          <w:sz w:val="24"/>
          <w:szCs w:val="24"/>
          <w:lang w:eastAsia="ko-KR"/>
        </w:rPr>
      </w:pPr>
      <w:r w:rsidRPr="00EC5AB6">
        <w:rPr>
          <w:rFonts w:ascii="Times New Roman" w:eastAsia="Malgun Gothic" w:hAnsi="Times New Roman"/>
          <w:color w:val="000000"/>
          <w:sz w:val="24"/>
          <w:szCs w:val="24"/>
          <w:lang w:eastAsia="ko-KR"/>
        </w:rPr>
        <w:t xml:space="preserve">Домперидон в редких случаях может вызывать неврологические побочные эффекты. Риск неврологических побочных эффектов у детей младшего возраста выше, так как метаболические функции и гематоэнцефалический барьер в первые месяцы жизни развиты не полностью. Передозировка может вызвать экстрапирамидные симптомы у детей, но необходимо принимать во внимание и другие возможные причины таких эффектов. </w:t>
      </w:r>
    </w:p>
    <w:p w14:paraId="39A70103" w14:textId="77777777" w:rsidR="00A459B4" w:rsidRPr="00EC5AB6" w:rsidRDefault="00A459B4" w:rsidP="00057A2D">
      <w:pPr>
        <w:spacing w:after="0" w:line="240" w:lineRule="auto"/>
        <w:jc w:val="both"/>
        <w:rPr>
          <w:rFonts w:ascii="Times New Roman" w:eastAsia="Malgun Gothic" w:hAnsi="Times New Roman"/>
          <w:b/>
          <w:color w:val="000000"/>
          <w:sz w:val="24"/>
          <w:szCs w:val="24"/>
          <w:lang w:eastAsia="ko-KR"/>
        </w:rPr>
      </w:pPr>
      <w:r w:rsidRPr="00EC5AB6">
        <w:rPr>
          <w:rFonts w:ascii="Times New Roman" w:eastAsia="Malgun Gothic" w:hAnsi="Times New Roman"/>
          <w:b/>
          <w:color w:val="000000"/>
          <w:sz w:val="24"/>
          <w:szCs w:val="24"/>
          <w:lang w:eastAsia="ko-KR"/>
        </w:rPr>
        <w:t>В связи с этим следует очень точно рассчитывать дозу МОТИГАСТ-</w:t>
      </w:r>
      <w:r w:rsidRPr="00EC5AB6">
        <w:rPr>
          <w:rFonts w:ascii="Times New Roman" w:eastAsia="Malgun Gothic" w:hAnsi="Times New Roman"/>
          <w:b/>
          <w:color w:val="000000"/>
          <w:sz w:val="24"/>
          <w:szCs w:val="24"/>
          <w:lang w:val="en-US" w:eastAsia="ko-KR"/>
        </w:rPr>
        <w:t>S</w:t>
      </w:r>
      <w:r w:rsidRPr="00EC5AB6">
        <w:rPr>
          <w:rFonts w:ascii="Times New Roman" w:eastAsia="Malgun Gothic" w:hAnsi="Times New Roman"/>
          <w:b/>
          <w:color w:val="000000"/>
          <w:sz w:val="24"/>
          <w:szCs w:val="24"/>
          <w:lang w:eastAsia="ko-KR"/>
        </w:rPr>
        <w:t xml:space="preserve"> для новорожденных, младенцев, детей старше 12 месяцев и детей раннего дошкольного возраста и строго придерживаться дозы.</w:t>
      </w:r>
    </w:p>
    <w:p w14:paraId="56DEAF8C" w14:textId="77777777" w:rsidR="00057A2D" w:rsidRPr="00EC5AB6" w:rsidRDefault="00057A2D" w:rsidP="00057A2D">
      <w:pPr>
        <w:spacing w:after="0" w:line="240" w:lineRule="auto"/>
        <w:jc w:val="both"/>
        <w:rPr>
          <w:rFonts w:ascii="Times New Roman" w:eastAsia="Malgun Gothic" w:hAnsi="Times New Roman"/>
          <w:i/>
          <w:color w:val="000000"/>
          <w:sz w:val="24"/>
          <w:szCs w:val="24"/>
          <w:lang w:eastAsia="ko-KR"/>
        </w:rPr>
      </w:pPr>
      <w:r w:rsidRPr="00EC5AB6">
        <w:rPr>
          <w:rFonts w:ascii="Times New Roman" w:eastAsia="Malgun Gothic" w:hAnsi="Times New Roman"/>
          <w:i/>
          <w:color w:val="000000"/>
          <w:sz w:val="24"/>
          <w:szCs w:val="24"/>
          <w:lang w:eastAsia="ko-KR"/>
        </w:rPr>
        <w:t xml:space="preserve">Сердечно-сосудистые эффекты </w:t>
      </w:r>
    </w:p>
    <w:p w14:paraId="3801776F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Домперидон был связан с удлинением интервала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 xml:space="preserve"> на электрокардиограмме. Во время пострегистрационного наблюдения имелись очень редкие случаи удлинения интервала QT и двунаправленной тахикардии у пациентов, принимающих домперидон. Эти отчёты включали пациентов со смешанными факторами риска, нарушениями электролитного баланса и сопутствующим лечением, что, возможно, было способствующими факторами.</w:t>
      </w:r>
    </w:p>
    <w:p w14:paraId="2B4FB48B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Эпидемиологические исследования показали, что домперидон был связан с повышенным риском серьёзных желудочковых аритмий или внезапной сердечной смерти. Более высокий риск наблюдался у пациентов старше 60 лет, пациентов, </w:t>
      </w:r>
      <w:r w:rsidRPr="00EC5AB6">
        <w:rPr>
          <w:rFonts w:ascii="Times New Roman" w:hAnsi="Times New Roman"/>
          <w:sz w:val="24"/>
          <w:szCs w:val="24"/>
        </w:rPr>
        <w:lastRenderedPageBreak/>
        <w:t xml:space="preserve">принимающих суточные дозы более 30 мг, и пациентов, одновременно принимающих препараты, удлиняющие интервал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>, или ингибиторы CYP3A4.</w:t>
      </w:r>
    </w:p>
    <w:p w14:paraId="2BCDFC75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Домперидон следует применять в наименьшей эффективной дозе. Домперидон противопоказан пациентам с диагностированным удлинением интервалов сердечной проводимости, особенно </w:t>
      </w:r>
      <w:r w:rsidRPr="00EC5AB6">
        <w:rPr>
          <w:rFonts w:ascii="Times New Roman" w:hAnsi="Times New Roman"/>
          <w:i/>
          <w:sz w:val="24"/>
          <w:szCs w:val="24"/>
        </w:rPr>
        <w:t>QTc</w:t>
      </w:r>
      <w:r w:rsidRPr="00EC5AB6">
        <w:rPr>
          <w:rFonts w:ascii="Times New Roman" w:hAnsi="Times New Roman"/>
          <w:sz w:val="24"/>
          <w:szCs w:val="24"/>
        </w:rPr>
        <w:t>, пациентам со значительными нарушениями электролитного баланса (гипокалиемия, гиперкалиемия, гипомагниемия) или брадикардией, и пациентам с основными сердечными заболеваниями, такими как застойная сердечная недостаточность ввиду повышенного риска желудочковой аритмии. Известно, что нарушения электролитного баланса (гипокалиемия, гиперкалиемия, гипомагниемия) или брадикардия являются состояниями, повышающими проаритмический риск.</w:t>
      </w:r>
    </w:p>
    <w:p w14:paraId="185AE4AE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Лечение домперидоном следует прекратить при появлении признаков или симптомов, которые могут быть связаны с сердечной аритмией, а также пациентам следует проконсультироваться с врачом.</w:t>
      </w:r>
    </w:p>
    <w:p w14:paraId="7203A852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Пациентам следует рекомендовать своевременно сообщать о любых сердечных симптомах.</w:t>
      </w:r>
    </w:p>
    <w:p w14:paraId="115D4C13" w14:textId="77777777" w:rsidR="006619C8" w:rsidRPr="00EC5AB6" w:rsidRDefault="006619C8" w:rsidP="006619C8">
      <w:pPr>
        <w:pStyle w:val="ac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Использование с апоморфином</w:t>
      </w:r>
    </w:p>
    <w:p w14:paraId="433C392A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Приём домперидона противопоказан с препаратами, удлиняющими интервал QT, включая апоморфин, исключая случаи, когда польза совместного применения с апоморфином перевешивает риск, или когда строго соблюдены рекомендуемые меры предосторожности для совместного применения, упомянутые в краткой характеристике апоморфина. Пожалуйста, ознакомьтесь с краткой характеристикой апоморфина.</w:t>
      </w:r>
    </w:p>
    <w:p w14:paraId="7869C5F0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Почечная недостаточность</w:t>
      </w:r>
    </w:p>
    <w:p w14:paraId="0CDB858C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Период полувыведения домперидона удлиняется при тяжёлой почечной недостаточности. При повторном назначении частота дозирования домперидона должна быть уменьшена до одного или двух раз в день в зависимости от степени выраженности нарушения; может потребоваться снижение дозы. Таких пациентов, находящихся на длительной терапии, необходимо регулярно обследовать.</w:t>
      </w:r>
    </w:p>
    <w:p w14:paraId="5C9EFAFD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Применение с мощными CYP3A4 ингибиторами</w:t>
      </w:r>
    </w:p>
    <w:p w14:paraId="5A0F9F6A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Следует избегать одновременного применения с пероральным кетоконазолом, эритромицином или другими мощными ингибиторами CYP3A4, которые продлевают интервал QT.</w:t>
      </w:r>
    </w:p>
    <w:p w14:paraId="246387BE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Совместное применение с леводопой</w:t>
      </w:r>
    </w:p>
    <w:p w14:paraId="195B3C86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Хотя нет необходимости в корректировке дозы леводопы, увеличение концентрации леводопы в плазме (максимум 30-40%) наблюдалось при одновременном приеме домперидона с леводопой.</w:t>
      </w:r>
    </w:p>
    <w:p w14:paraId="5C2D9281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Вспомогательные вещества</w:t>
      </w:r>
    </w:p>
    <w:p w14:paraId="5B5A570C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Суспензия домперидона содержит 50 мг жидкого сорбитола (не кристаллизующийся 70 %)  на 1мл, что может вызвать желудочно-кишечный дискомфорт и слабый слабительный эффект. Пациенты с редкими наследственными заболеваниями непереносимости фруктозы не должны принимать этот лекарственный препарат.</w:t>
      </w:r>
    </w:p>
    <w:p w14:paraId="33CA4EB0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Суспензия домперидона содержит натрия метилгидроксибензоат  и натрия пропилгидроксибензоат, которые могут вызывать аллергические реакции (возможно замедленные).</w:t>
      </w:r>
    </w:p>
    <w:p w14:paraId="73397BEB" w14:textId="77777777" w:rsidR="000A15B0" w:rsidRPr="00EC5AB6" w:rsidRDefault="000A15B0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53D93C" w14:textId="77777777" w:rsidR="007D0E84" w:rsidRPr="00EC5AB6" w:rsidRDefault="00DB406A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5D66F3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14:paraId="4EC1BE2B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Антациды или антисекреторные препараты не следует принимать одновременно с пероральными препаратами домперидона, поскольку они снижают пероральную биодоступность домперидона. Домперидон следует принимать до еды, а антациды или антисекреторные препараты – после еды.</w:t>
      </w:r>
    </w:p>
    <w:p w14:paraId="79A95CB2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lastRenderedPageBreak/>
        <w:t>Одновременный прием антихолинергических препаратов может противодействовать антидиспептическому эффекту домперидона.</w:t>
      </w:r>
    </w:p>
    <w:p w14:paraId="71561A23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Основной метаболический путь домперидона проходит через CYP3A4. Данные </w:t>
      </w:r>
      <w:r w:rsidRPr="00EC5AB6">
        <w:rPr>
          <w:rFonts w:ascii="Times New Roman" w:hAnsi="Times New Roman"/>
          <w:i/>
          <w:sz w:val="24"/>
          <w:szCs w:val="24"/>
        </w:rPr>
        <w:t>in vitro</w:t>
      </w:r>
      <w:r w:rsidRPr="00EC5AB6">
        <w:rPr>
          <w:rFonts w:ascii="Times New Roman" w:hAnsi="Times New Roman"/>
          <w:sz w:val="24"/>
          <w:szCs w:val="24"/>
        </w:rPr>
        <w:t xml:space="preserve"> позволяют предположить, что одновременный приём препаратов, значительно ингибирующих этот фермент, может привести к повышению уровня домперидона в плазме.</w:t>
      </w:r>
    </w:p>
    <w:p w14:paraId="0F35AC20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Повышенный риск удлинения интервала QT вследствие фармакодинамического и/или фармакокинетического взаимодействия.</w:t>
      </w:r>
    </w:p>
    <w:p w14:paraId="19190166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b/>
          <w:color w:val="000000"/>
          <w:sz w:val="24"/>
          <w:szCs w:val="24"/>
          <w:u w:val="single"/>
        </w:rPr>
        <w:t>Противопоказано одновременное применение со следующими лекарственными средствами</w:t>
      </w:r>
      <w:r w:rsidRPr="00EC5AB6">
        <w:rPr>
          <w:rFonts w:ascii="Times New Roman" w:hAnsi="Times New Roman"/>
          <w:color w:val="000000"/>
          <w:sz w:val="24"/>
          <w:szCs w:val="24"/>
        </w:rPr>
        <w:t>:</w:t>
      </w:r>
    </w:p>
    <w:p w14:paraId="6F575B40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i/>
          <w:color w:val="000000"/>
          <w:sz w:val="24"/>
          <w:szCs w:val="24"/>
        </w:rPr>
        <w:t>C препаратами удлиняющими интервал QT</w:t>
      </w:r>
      <w:r w:rsidRPr="00EC5AB6">
        <w:rPr>
          <w:rFonts w:ascii="Times New Roman" w:hAnsi="Times New Roman"/>
          <w:color w:val="000000"/>
          <w:sz w:val="24"/>
          <w:szCs w:val="24"/>
        </w:rPr>
        <w:t>:</w:t>
      </w:r>
    </w:p>
    <w:p w14:paraId="0554A51C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антиаритмические препараты класса ІА (например, дизопирамид, гидрохинидин, хинидин);</w:t>
      </w:r>
    </w:p>
    <w:p w14:paraId="1B4EC438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антиаритмические препараты класса ІІІ (например, амиодарон, дофетилид, дронедарон, ибутилид, соталол);</w:t>
      </w:r>
    </w:p>
    <w:p w14:paraId="37CA4FCB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нейролептические препараты (например, галоперидол, пимозид, сертиндол);</w:t>
      </w:r>
    </w:p>
    <w:p w14:paraId="6763E21B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антидепрессанты (например, циталопрам, эсциталопрам);</w:t>
      </w:r>
    </w:p>
    <w:p w14:paraId="7DE60AF5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антибиотики (например, эритромицин, левофлоксацин, моксифлоксацин, спирамицин);</w:t>
      </w:r>
    </w:p>
    <w:p w14:paraId="7D3F6172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противогрибковые препараты (например, пентамидин);</w:t>
      </w:r>
    </w:p>
    <w:p w14:paraId="038A49C7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противомалярийные препараты (например, галофантрин, люмефантрин);</w:t>
      </w:r>
    </w:p>
    <w:p w14:paraId="6B3D1867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желудочно-кишечные препараты (например, цизаприд, доласетрон, прукалоприд);</w:t>
      </w:r>
    </w:p>
    <w:p w14:paraId="21DE21B4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антигистаминные препараты (например, меквитазин, мизоластин);</w:t>
      </w:r>
    </w:p>
    <w:p w14:paraId="61BFBAA6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препараты, применяемые при онкологических заболеваниях (например, торемифен, вандетаниб, винкамин);</w:t>
      </w:r>
    </w:p>
    <w:p w14:paraId="13685E5B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другие препараты (например, бепридил, дифеманил, метадон);</w:t>
      </w:r>
    </w:p>
    <w:p w14:paraId="25F879B0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апоморфин, если только польза от совместного применения превышает риск, и только при условии строгого соблюдения рекомендованных мер по совместному применению.</w:t>
      </w:r>
    </w:p>
    <w:p w14:paraId="48612A5B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Мощные ингибиторы CYP3A4 (независимо от эффекта удлинения интервала QT), т.е.</w:t>
      </w:r>
    </w:p>
    <w:p w14:paraId="52A2C198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ингибиторы протеазы;</w:t>
      </w:r>
    </w:p>
    <w:p w14:paraId="48E9CA92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азольные противогрибковые препараты системного действия;</w:t>
      </w:r>
    </w:p>
    <w:p w14:paraId="4C0D2186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-</w:t>
      </w:r>
      <w:r w:rsidRPr="00EC5AB6">
        <w:rPr>
          <w:rFonts w:ascii="Times New Roman" w:hAnsi="Times New Roman"/>
          <w:color w:val="000000"/>
          <w:sz w:val="24"/>
          <w:szCs w:val="24"/>
        </w:rPr>
        <w:tab/>
        <w:t>некоторые  макролиды (эритромицин,  кларитромицин, телитромицин) (см. раздел «Противопоказания»).</w:t>
      </w:r>
    </w:p>
    <w:p w14:paraId="2ECBED65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b/>
          <w:color w:val="000000"/>
          <w:sz w:val="24"/>
          <w:szCs w:val="24"/>
          <w:u w:val="single"/>
        </w:rPr>
        <w:t>Не рекомендуется одновременное применение со следующими лекарственными средствами</w:t>
      </w:r>
      <w:r w:rsidRPr="00EC5AB6">
        <w:rPr>
          <w:rFonts w:ascii="Times New Roman" w:hAnsi="Times New Roman"/>
          <w:color w:val="000000"/>
          <w:sz w:val="24"/>
          <w:szCs w:val="24"/>
        </w:rPr>
        <w:t>:</w:t>
      </w:r>
    </w:p>
    <w:p w14:paraId="605EFBC1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С умеренными ингибиторами CYP3A4 (например, дилтиазем, верапамил, некоторые макролиды (см. раздел «Противопоказания»).</w:t>
      </w:r>
    </w:p>
    <w:p w14:paraId="36ED0091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b/>
          <w:color w:val="000000"/>
          <w:sz w:val="24"/>
          <w:szCs w:val="24"/>
          <w:u w:val="single"/>
        </w:rPr>
        <w:t>Одновременное применение требует осторожности</w:t>
      </w:r>
      <w:r w:rsidRPr="00EC5AB6">
        <w:rPr>
          <w:rFonts w:ascii="Times New Roman" w:hAnsi="Times New Roman"/>
          <w:color w:val="000000"/>
          <w:sz w:val="24"/>
          <w:szCs w:val="24"/>
        </w:rPr>
        <w:t>:</w:t>
      </w:r>
    </w:p>
    <w:p w14:paraId="3D3B9244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 xml:space="preserve">Требуется соблюдать осторожность при одновременном применении с препаратами, индуцирующими развитие брадикардии и гипокалиемии, а также с макролидами (азитромицин, рокситромицин), удлиняющими интервал QT. Кларитромицин как сильный ингибитор CYP3A4 противопоказан для применения. </w:t>
      </w:r>
    </w:p>
    <w:p w14:paraId="31672182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i/>
          <w:color w:val="000000"/>
          <w:sz w:val="24"/>
          <w:szCs w:val="24"/>
        </w:rPr>
        <w:t>Леводопа</w:t>
      </w:r>
      <w:r w:rsidRPr="00EC5AB6">
        <w:rPr>
          <w:rFonts w:ascii="Times New Roman" w:hAnsi="Times New Roman"/>
          <w:color w:val="000000"/>
          <w:sz w:val="24"/>
          <w:szCs w:val="24"/>
        </w:rPr>
        <w:t>: повышение уровня леводопы в плазме (максимум 30-40%).</w:t>
      </w:r>
    </w:p>
    <w:p w14:paraId="5C7D33CB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Представленный выше список является репрезентативным, но не полным.</w:t>
      </w:r>
    </w:p>
    <w:p w14:paraId="4A38DC18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>Главный метаболический путь домперидона проходит с участием CYP3A4.</w:t>
      </w:r>
    </w:p>
    <w:p w14:paraId="02606D66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 xml:space="preserve">Результаты исследований </w:t>
      </w:r>
      <w:r w:rsidRPr="00EC5AB6">
        <w:rPr>
          <w:rFonts w:ascii="Times New Roman" w:hAnsi="Times New Roman"/>
          <w:i/>
          <w:color w:val="000000"/>
          <w:sz w:val="24"/>
          <w:szCs w:val="24"/>
        </w:rPr>
        <w:t>in vitro</w:t>
      </w:r>
      <w:r w:rsidRPr="00EC5AB6">
        <w:rPr>
          <w:rFonts w:ascii="Times New Roman" w:hAnsi="Times New Roman"/>
          <w:color w:val="000000"/>
          <w:sz w:val="24"/>
          <w:szCs w:val="24"/>
        </w:rPr>
        <w:t xml:space="preserve"> позволяют предположить, что одновременный прием препаратов, которые значительно ингибируют этот фермент, может привести к повышению уровня домперидона в плазме крови.</w:t>
      </w:r>
    </w:p>
    <w:p w14:paraId="48518C04" w14:textId="77777777" w:rsidR="006619C8" w:rsidRPr="00EC5AB6" w:rsidRDefault="006619C8" w:rsidP="006619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lastRenderedPageBreak/>
        <w:t xml:space="preserve">Отдельные исследования фармакокинетического / фармакодинамического взаимодействия </w:t>
      </w:r>
      <w:r w:rsidRPr="00EC5AB6">
        <w:rPr>
          <w:rFonts w:ascii="Times New Roman" w:hAnsi="Times New Roman"/>
          <w:i/>
          <w:color w:val="000000"/>
          <w:sz w:val="24"/>
          <w:szCs w:val="24"/>
        </w:rPr>
        <w:t>in vivo</w:t>
      </w:r>
      <w:r w:rsidRPr="00EC5AB6">
        <w:rPr>
          <w:rFonts w:ascii="Times New Roman" w:hAnsi="Times New Roman"/>
          <w:color w:val="000000"/>
          <w:sz w:val="24"/>
          <w:szCs w:val="24"/>
        </w:rPr>
        <w:t xml:space="preserve"> с пероральным кетоконазолом или пероральным эритромицином у здоровых добровольцев подтвердили заметное ингибирование опосредованного домперидоном CYP3A4 метаболизма первого прохода этими препаратами.</w:t>
      </w:r>
    </w:p>
    <w:p w14:paraId="7B754480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При комбинации перорального введения домперидона 10 мг четыре раза в день и 200 мг кетоконазола два раза в день в течение периода наблюдения наблюдалось среднее увеличение </w:t>
      </w:r>
      <w:r w:rsidRPr="00EC5AB6">
        <w:rPr>
          <w:rFonts w:ascii="Times New Roman" w:hAnsi="Times New Roman"/>
          <w:i/>
          <w:sz w:val="24"/>
          <w:szCs w:val="24"/>
        </w:rPr>
        <w:t xml:space="preserve">QT </w:t>
      </w:r>
      <w:r w:rsidRPr="00EC5AB6">
        <w:rPr>
          <w:rFonts w:ascii="Times New Roman" w:hAnsi="Times New Roman"/>
          <w:sz w:val="24"/>
          <w:szCs w:val="24"/>
        </w:rPr>
        <w:t xml:space="preserve"> на 9,8 мсек с изменениями в отдельные моменты времени в диапазоне от 1,2 до 17,5 мсек. При комбинации домперидона 10 мг четыре раза в день и перорального эритромицина 500 мг три раза в день среднее значение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 xml:space="preserve"> за период наблюдения было продлено на 9,9 мсек, с изменениями в отдельные моменты времени в диапазоне от 1,6 до 14,3 мсек. Как C</w:t>
      </w:r>
      <w:r w:rsidRPr="00EC5AB6">
        <w:rPr>
          <w:rFonts w:ascii="Times New Roman" w:hAnsi="Times New Roman"/>
          <w:sz w:val="24"/>
          <w:szCs w:val="24"/>
          <w:vertAlign w:val="subscript"/>
        </w:rPr>
        <w:t>max</w:t>
      </w:r>
      <w:r w:rsidRPr="00EC5AB6">
        <w:rPr>
          <w:rFonts w:ascii="Times New Roman" w:hAnsi="Times New Roman"/>
          <w:sz w:val="24"/>
          <w:szCs w:val="24"/>
        </w:rPr>
        <w:t xml:space="preserve">, так и AUC домперидона в устойчивом состоянии были увеличены примерно в три раза в каждом из этих исследований взаимодействия. В данных исследованиях монотерапия домперидоном в дозе 10 мг перорально четыре раза в день приводила к увеличению среднего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 xml:space="preserve"> на 1,6 мсек (исследование кетоконазола) и 2,5 мсек (исследование эритромицина), тогда как монотерапия кетоконазолом (200 мг два раза в день) приводила к увеличению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 xml:space="preserve"> на 3,8 и 4,9 мсек соответственно за период наблюдения.</w:t>
      </w:r>
    </w:p>
    <w:p w14:paraId="5CD1EB8B" w14:textId="77777777" w:rsidR="00655F37" w:rsidRPr="00EC5AB6" w:rsidRDefault="00655F37" w:rsidP="00785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4615E0" w14:textId="77777777" w:rsidR="00B05BD1" w:rsidRPr="00EC5AB6" w:rsidRDefault="00B05BD1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Фертильность, беременность и лактация</w:t>
      </w:r>
    </w:p>
    <w:p w14:paraId="27C21F2C" w14:textId="77777777" w:rsidR="00CB6270" w:rsidRPr="00EC5AB6" w:rsidRDefault="00CB6270" w:rsidP="00CB627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Во время беременности или лактации</w:t>
      </w:r>
    </w:p>
    <w:p w14:paraId="5D32AAEE" w14:textId="77777777" w:rsidR="00CB6270" w:rsidRPr="00EC5AB6" w:rsidRDefault="00CB6270" w:rsidP="00CB627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Беременность</w:t>
      </w:r>
    </w:p>
    <w:p w14:paraId="7BD46564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Данные пострегистрационного применения в отношении использования домперидона у беременных женщин ограничены. Исследования на животных показали репродуктивную токсичность в дозах, токсичных для матери. Домперидон следует использовать во время беременности только если это оправдано ожидаемой терапевтической пользой.</w:t>
      </w:r>
    </w:p>
    <w:p w14:paraId="1E42B3FA" w14:textId="77777777" w:rsidR="00CB6270" w:rsidRPr="00EC5AB6" w:rsidRDefault="00CB6270" w:rsidP="00CB6270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EC5AB6">
        <w:rPr>
          <w:rFonts w:ascii="Times New Roman" w:hAnsi="Times New Roman"/>
          <w:i/>
          <w:color w:val="000000"/>
          <w:sz w:val="24"/>
          <w:szCs w:val="24"/>
        </w:rPr>
        <w:t>Кормление грудью</w:t>
      </w:r>
    </w:p>
    <w:p w14:paraId="7FFF4107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Домперидон выделяется с грудным молоком, а дети, находящиеся на грудном вскармливании, получают менее 0,1% от дозы, скорректированной с учётом веса матери. Возникновение нежелательных явлений, в частности сердечных, нельзя исключать после воздействия через грудное молоко. Необходимо принять решение о прекращении грудного вскармливания или прекращении/воздержании от терапии домперидоном, принимая во внимание пользу грудного вскармливания для ребёнка и пользу терапии для матери. Следует проявлять осторожность при факторах риска удлинения </w:t>
      </w:r>
      <w:r w:rsidRPr="00EC5AB6">
        <w:rPr>
          <w:rFonts w:ascii="Times New Roman" w:hAnsi="Times New Roman"/>
          <w:i/>
          <w:sz w:val="24"/>
          <w:szCs w:val="24"/>
        </w:rPr>
        <w:t>QT</w:t>
      </w:r>
      <w:r w:rsidRPr="00EC5AB6">
        <w:rPr>
          <w:rFonts w:ascii="Times New Roman" w:hAnsi="Times New Roman"/>
          <w:sz w:val="24"/>
          <w:szCs w:val="24"/>
        </w:rPr>
        <w:t xml:space="preserve"> у грудных детей.</w:t>
      </w:r>
    </w:p>
    <w:p w14:paraId="7E6EA71F" w14:textId="77777777" w:rsidR="00292412" w:rsidRPr="00EC5AB6" w:rsidRDefault="00292412" w:rsidP="002924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AB6">
        <w:rPr>
          <w:rFonts w:ascii="Times New Roman" w:hAnsi="Times New Roman"/>
          <w:i/>
          <w:sz w:val="24"/>
          <w:szCs w:val="24"/>
        </w:rPr>
        <w:t>Фертильность</w:t>
      </w:r>
    </w:p>
    <w:p w14:paraId="760E3A95" w14:textId="77777777" w:rsidR="00292412" w:rsidRPr="00EC5AB6" w:rsidRDefault="00292412" w:rsidP="002924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Нет данных о влиянии домперидона на фертильность человека.</w:t>
      </w:r>
    </w:p>
    <w:p w14:paraId="1AEA5CBE" w14:textId="77777777" w:rsidR="00F22E8A" w:rsidRPr="00EC5AB6" w:rsidRDefault="00F22E8A" w:rsidP="00F22E8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F4AD2E" w14:textId="77777777" w:rsidR="00CE7F7F" w:rsidRPr="00EC5AB6" w:rsidRDefault="00DB406A" w:rsidP="00CE7F7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CE7F7F" w:rsidRPr="00EC5AB6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r w:rsidR="00CE7F7F"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7" w:name="2175220282"/>
    </w:p>
    <w:p w14:paraId="64A4947A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Домперидон не оказывает или оказывает незначительное влияние на способность управлять транспортным средством и работать с механизмами. </w:t>
      </w:r>
    </w:p>
    <w:p w14:paraId="18E0F333" w14:textId="77777777" w:rsidR="00D52CC4" w:rsidRPr="00EC5AB6" w:rsidRDefault="00D52CC4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DEAE11" w14:textId="77777777" w:rsidR="009D67EC" w:rsidRPr="00EC5AB6" w:rsidRDefault="009D67EC" w:rsidP="0078568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7"/>
    </w:p>
    <w:p w14:paraId="4F172845" w14:textId="77777777" w:rsidR="0062175F" w:rsidRPr="00EC5AB6" w:rsidRDefault="0062175F" w:rsidP="00621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8" w:name="_Hlk134800918"/>
      <w:r w:rsidRPr="00EC5AB6">
        <w:rPr>
          <w:rFonts w:ascii="Times New Roman" w:hAnsi="Times New Roman"/>
          <w:sz w:val="24"/>
          <w:szCs w:val="24"/>
          <w:lang w:eastAsia="ru-RU"/>
        </w:rPr>
        <w:t>Безопасность домперидона оценивалась в ходе клинических испытаний и в период пострегистрационного применения.</w:t>
      </w:r>
    </w:p>
    <w:p w14:paraId="70AB68D5" w14:textId="69FAB731" w:rsidR="0062175F" w:rsidRPr="00EC5AB6" w:rsidRDefault="0062175F" w:rsidP="00621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Клинические исследования включали 1275 пациентов с диспепсией, гастроэзофагеальной рефлюксной болезнью (ГЭРБ), синдромом раздражённого кишечника (СРК), тошнотой и рвотой или другими сходными состояниями — в рамках 31 двойного слепого плацеб</w:t>
      </w:r>
      <w:r w:rsidR="004C336F" w:rsidRPr="00EC5AB6">
        <w:rPr>
          <w:rFonts w:ascii="Times New Roman" w:hAnsi="Times New Roman"/>
          <w:sz w:val="24"/>
          <w:szCs w:val="24"/>
          <w:lang w:eastAsia="ru-RU"/>
        </w:rPr>
        <w:t>о-контролируемого исследования.</w:t>
      </w:r>
    </w:p>
    <w:p w14:paraId="7AE1B9A6" w14:textId="77777777" w:rsidR="0062175F" w:rsidRPr="00EC5AB6" w:rsidRDefault="0062175F" w:rsidP="00621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Все пациенты были в возрасте не менее 15 лет и получили как минимум одну дозу домперидона (в пересчёте на домперидон-основание).</w:t>
      </w:r>
    </w:p>
    <w:p w14:paraId="3C120F15" w14:textId="4D112F12" w:rsidR="0062175F" w:rsidRPr="00EC5AB6" w:rsidRDefault="0062175F" w:rsidP="00621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lastRenderedPageBreak/>
        <w:t>Медианная суточная доза составляла 30 мг (диапазон — от 10 до 80 мг), а медианная продолжительность применения — 28 дне</w:t>
      </w:r>
      <w:r w:rsidR="004C336F" w:rsidRPr="00EC5AB6">
        <w:rPr>
          <w:rFonts w:ascii="Times New Roman" w:hAnsi="Times New Roman"/>
          <w:sz w:val="24"/>
          <w:szCs w:val="24"/>
          <w:lang w:eastAsia="ru-RU"/>
        </w:rPr>
        <w:t>й (диапазон — от 1 до 28 дней).</w:t>
      </w:r>
    </w:p>
    <w:p w14:paraId="27C2F39C" w14:textId="1BD965CF" w:rsidR="0062175F" w:rsidRPr="00EC5AB6" w:rsidRDefault="0062175F" w:rsidP="006217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Исследования, проводившиеся при диабетическом гастропарезе или симптомах, связанных с химиотерапией или паркинсонизмом, не включались в анализ.</w:t>
      </w:r>
    </w:p>
    <w:p w14:paraId="476C3225" w14:textId="77777777" w:rsidR="0062175F" w:rsidRPr="00EC5AB6" w:rsidRDefault="0062175F" w:rsidP="00970DD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bookmarkEnd w:id="8"/>
    <w:p w14:paraId="5DDE3DE8" w14:textId="628FFEB0" w:rsidR="004C336F" w:rsidRPr="00EC5AB6" w:rsidRDefault="00970DD1" w:rsidP="00556E6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Определение частоты побочных явлений проводится в соответствии со следующими критериями</w:t>
      </w:r>
      <w:bookmarkStart w:id="9" w:name="_Hlk135044084"/>
      <w:r w:rsidRPr="00EC5A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: очень часто (≥ 1/10), часто (≥ от 1/100 до &lt; 1/10), нечасто (≥ от 1/1000 до &lt; 1/100), редко (≥ 1/10000 до &lt; 1/1000), очень редко (&lt; 1/10000),</w:t>
      </w:r>
      <w:r w:rsidRPr="00EC5AB6">
        <w:rPr>
          <w:rFonts w:ascii="Times New Roman" w:hAnsi="Times New Roman"/>
          <w:i/>
          <w:sz w:val="24"/>
          <w:szCs w:val="24"/>
        </w:rPr>
        <w:t xml:space="preserve"> неизвестно (невозможно оценить на основании имеющихся данных)</w:t>
      </w:r>
      <w:r w:rsidRPr="00EC5AB6">
        <w:rPr>
          <w:rFonts w:ascii="Times New Roman" w:hAnsi="Times New Roman"/>
          <w:sz w:val="24"/>
          <w:szCs w:val="24"/>
          <w:lang w:eastAsia="ru-RU"/>
        </w:rPr>
        <w:t>.</w:t>
      </w:r>
      <w:bookmarkEnd w:id="9"/>
    </w:p>
    <w:p w14:paraId="31F9D4D5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иммунной системы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частота неизвестна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анафилактические реакции (включая анафилактический шок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)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 </w:t>
      </w:r>
    </w:p>
    <w:p w14:paraId="5866CA44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Психические расстройства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kk-KZ" w:eastAsia="ru-RU"/>
        </w:rPr>
        <w:t>нечасто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 xml:space="preserve">потеря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либидо, беспокойство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; ч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астота неизвестна</w:t>
      </w:r>
      <w:r w:rsidRPr="00EC5A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ажитация (возбуждение)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,</w:t>
      </w:r>
      <w:r w:rsidRPr="00EC5AB6" w:rsidDel="0030236F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нервозность. </w:t>
      </w:r>
    </w:p>
    <w:p w14:paraId="7A6A7934" w14:textId="5F87FD1B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нервной системы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нечасто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сонливость, головная боль, экстрапирамидные расстройства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;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частота неизвестна </w:t>
      </w:r>
      <w:r w:rsidRPr="00EC5A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судороги,</w:t>
      </w:r>
      <w:r w:rsidR="002A4FB1"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синдром беспокойных ног*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61B8AC4F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Со стороны </w:t>
      </w:r>
      <w:r w:rsidRPr="00EC5AB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органов зрения</w:t>
      </w:r>
      <w:r w:rsidRPr="00EC5AB6">
        <w:rPr>
          <w:rFonts w:ascii="Times New Roman" w:eastAsia="Times New Roman" w:hAnsi="Times New Roman"/>
          <w:i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частота неизвестна </w:t>
      </w:r>
      <w:r w:rsidRPr="00EC5A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–</w:t>
      </w:r>
      <w:r w:rsidRPr="00EC5A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окулогирный криз.</w:t>
      </w:r>
    </w:p>
    <w:p w14:paraId="04B74C9D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сердечно-сосудистой системы: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частота неизвестна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–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желудочковые аритмии,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 xml:space="preserve">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внезапная сердечная смерть</w:t>
      </w:r>
      <w:r w:rsidRPr="00EC5AB6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,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удлинение интервала QT.</w:t>
      </w:r>
    </w:p>
    <w:p w14:paraId="0702C475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желудочно-кишечного тракта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часто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–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сухость во рту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;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 xml:space="preserve">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нечасто 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–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диарея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.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</w:p>
    <w:p w14:paraId="1037706F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кожи и подкожных тканей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нечасто 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высыпани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я,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зуд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 xml:space="preserve">;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ч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астота неизвестна </w:t>
      </w:r>
      <w:r w:rsidRPr="00EC5A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–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крапивница, ангионевротический отек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. </w:t>
      </w:r>
    </w:p>
    <w:p w14:paraId="39E10115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мочевыделительной системы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частота неизвестна </w:t>
      </w:r>
      <w:r w:rsidRPr="00EC5A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–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задержка мочи. </w:t>
      </w:r>
    </w:p>
    <w:p w14:paraId="07F3434C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 стороны репродуктивной системы и молочных желез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нечасто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–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галакторея, боль в области молочных желез, чувствительность молочных желез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 xml:space="preserve">;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частота неизвестна </w:t>
      </w:r>
      <w:r w:rsidRPr="00EC5A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–</w:t>
      </w:r>
      <w:r w:rsidRPr="00EC5A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гинекомастия, аменорея. </w:t>
      </w:r>
    </w:p>
    <w:p w14:paraId="1A6964B9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Общие нарушения и нарушения в месте введения</w:t>
      </w:r>
      <w:r w:rsidRPr="00EC5AB6">
        <w:rPr>
          <w:rFonts w:ascii="Times New Roman" w:eastAsia="Times New Roman" w:hAnsi="Times New Roman"/>
          <w:bCs/>
          <w:i/>
          <w:color w:val="000000"/>
          <w:sz w:val="24"/>
          <w:szCs w:val="24"/>
          <w:lang w:val="uk-UA" w:eastAsia="ru-RU"/>
        </w:rPr>
        <w:t xml:space="preserve">: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нечасто</w:t>
      </w:r>
      <w:r w:rsidRPr="00EC5AB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астения.</w:t>
      </w:r>
    </w:p>
    <w:p w14:paraId="5849C3D4" w14:textId="77777777" w:rsidR="004C336F" w:rsidRPr="00EC5AB6" w:rsidRDefault="004C336F" w:rsidP="004C3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Изменения лабораторных показателей: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частота неизвестна </w:t>
      </w: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EC5AB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отклонения от нормы показателей функциональных тестов печени, повышение уровня пролактина в крови.</w:t>
      </w:r>
    </w:p>
    <w:p w14:paraId="20EA85D1" w14:textId="77777777" w:rsidR="004C336F" w:rsidRPr="00EC5AB6" w:rsidRDefault="004C336F" w:rsidP="004C33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В использовании домперидона в более высоких дозах в течение более продолжительного периода и по дополнительным показаниям, включая диабетический гастропарез, частота нежелательных явлений (кроме сухости во рту) была значительно выше. Это было особенно очевидно для фармакологически предсказуемых событий, связанных с повышенным пролактином. В дополнение к реакциям, перечисленным выше, были также отмечены акатизия, выделения из груди, увеличение груди, отек груди, депрессия, гиперчувствительность, нарушение лактации и нерегулярные менструации.</w:t>
      </w:r>
    </w:p>
    <w:p w14:paraId="478F41DB" w14:textId="77777777" w:rsidR="004C336F" w:rsidRPr="00EC5AB6" w:rsidRDefault="004C336F" w:rsidP="00720862">
      <w:p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  <w:u w:val="single"/>
          <w:lang w:eastAsia="ru-RU"/>
        </w:rPr>
      </w:pPr>
    </w:p>
    <w:p w14:paraId="2354E2EC" w14:textId="256EA9FA" w:rsidR="002A4FB1" w:rsidRPr="00EC5AB6" w:rsidRDefault="002A4FB1" w:rsidP="002A4FB1">
      <w:p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  <w:lang w:eastAsia="ru-RU"/>
        </w:rPr>
      </w:pPr>
      <w:r w:rsidRPr="00EC5AB6">
        <w:rPr>
          <w:rFonts w:ascii="Times New Roman" w:hAnsi="Times New Roman"/>
          <w:kern w:val="16"/>
          <w:sz w:val="24"/>
          <w:szCs w:val="24"/>
          <w:lang w:eastAsia="ru-RU"/>
        </w:rPr>
        <w:t>* Обострение синдрома беспокойных ног у пациентов с болезнью Паркинсона.</w:t>
      </w:r>
    </w:p>
    <w:p w14:paraId="29E8CABB" w14:textId="1E4050BF" w:rsidR="002A4FB1" w:rsidRPr="00EC5AB6" w:rsidRDefault="002A4FB1" w:rsidP="002A4FB1">
      <w:p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  <w:lang w:eastAsia="ru-RU"/>
        </w:rPr>
      </w:pPr>
      <w:r w:rsidRPr="00EC5AB6">
        <w:rPr>
          <w:rFonts w:ascii="Times New Roman" w:hAnsi="Times New Roman"/>
          <w:kern w:val="16"/>
          <w:sz w:val="24"/>
          <w:szCs w:val="24"/>
          <w:lang w:eastAsia="ru-RU"/>
        </w:rPr>
        <w:t>В 45 исследованиях, где домперидон применялся в более высоких дозах, в течение более длительного времени и при дополнительных показаниях (включая диабетический гастропарез), частота побочных явлений (за исключением сухости во рту) была значительно выше.</w:t>
      </w:r>
    </w:p>
    <w:p w14:paraId="0431642D" w14:textId="096F6CFE" w:rsidR="002A4FB1" w:rsidRPr="00EC5AB6" w:rsidRDefault="002A4FB1" w:rsidP="002A4FB1">
      <w:p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  <w:lang w:eastAsia="ru-RU"/>
        </w:rPr>
      </w:pPr>
      <w:r w:rsidRPr="00EC5AB6">
        <w:rPr>
          <w:rFonts w:ascii="Times New Roman" w:hAnsi="Times New Roman"/>
          <w:kern w:val="16"/>
          <w:sz w:val="24"/>
          <w:szCs w:val="24"/>
          <w:lang w:eastAsia="ru-RU"/>
        </w:rPr>
        <w:t>Это особенно проявлялось в отношении фармакологически предсказуемых реакций, связанных с повышением уровня пролактина.</w:t>
      </w:r>
    </w:p>
    <w:p w14:paraId="75DCC36C" w14:textId="77777777" w:rsidR="002A4FB1" w:rsidRPr="00EC5AB6" w:rsidRDefault="002A4FB1" w:rsidP="002A4FB1">
      <w:p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  <w:lang w:eastAsia="ru-RU"/>
        </w:rPr>
      </w:pPr>
      <w:r w:rsidRPr="00EC5AB6">
        <w:rPr>
          <w:rFonts w:ascii="Times New Roman" w:hAnsi="Times New Roman"/>
          <w:kern w:val="16"/>
          <w:sz w:val="24"/>
          <w:szCs w:val="24"/>
          <w:lang w:eastAsia="ru-RU"/>
        </w:rPr>
        <w:t>Помимо уже перечисленных реакций, также отмечались следующие:</w:t>
      </w:r>
    </w:p>
    <w:p w14:paraId="6B8FA7C2" w14:textId="31420577" w:rsidR="004C336F" w:rsidRPr="00EC5AB6" w:rsidRDefault="002A4FB1" w:rsidP="002A4FB1">
      <w:pPr>
        <w:spacing w:after="0" w:line="240" w:lineRule="auto"/>
        <w:jc w:val="both"/>
        <w:rPr>
          <w:rFonts w:ascii="Times New Roman" w:hAnsi="Times New Roman"/>
          <w:kern w:val="16"/>
          <w:sz w:val="24"/>
          <w:szCs w:val="24"/>
          <w:lang w:eastAsia="ru-RU"/>
        </w:rPr>
      </w:pPr>
      <w:r w:rsidRPr="00EC5AB6">
        <w:rPr>
          <w:rFonts w:ascii="Times New Roman" w:hAnsi="Times New Roman"/>
          <w:kern w:val="16"/>
          <w:sz w:val="24"/>
          <w:szCs w:val="24"/>
          <w:lang w:eastAsia="ru-RU"/>
        </w:rPr>
        <w:t>акатизия, выделения из молочных желез, увеличение или набухание молочных желез, депрессия, гиперчувствительность, нарушения лактации и нерегулярные менструации.</w:t>
      </w:r>
    </w:p>
    <w:p w14:paraId="4ED26057" w14:textId="77777777" w:rsidR="004C336F" w:rsidRPr="00EC5AB6" w:rsidRDefault="004C336F" w:rsidP="00720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15D3C" w14:textId="77777777" w:rsidR="00E56A65" w:rsidRPr="00EC5AB6" w:rsidRDefault="00E56A65" w:rsidP="00E56A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5AB6">
        <w:rPr>
          <w:rFonts w:ascii="Times New Roman" w:hAnsi="Times New Roman"/>
          <w:b/>
          <w:sz w:val="24"/>
          <w:szCs w:val="24"/>
        </w:rPr>
        <w:t xml:space="preserve">Сообщение о подозреваемых нежелательных реакциях </w:t>
      </w:r>
    </w:p>
    <w:p w14:paraId="0C526B97" w14:textId="77777777" w:rsidR="00E56A65" w:rsidRPr="00EC5AB6" w:rsidRDefault="00E56A65" w:rsidP="00E56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ЛП с целью обеспечения непрерывного мониторинга соотношения «польза – риск» ЛП. Медицинским работникам рекомендуется сообщать о любых подозреваемых </w:t>
      </w:r>
      <w:r w:rsidRPr="00EC5AB6">
        <w:rPr>
          <w:rFonts w:ascii="Times New Roman" w:hAnsi="Times New Roman"/>
          <w:sz w:val="24"/>
          <w:szCs w:val="24"/>
        </w:rPr>
        <w:lastRenderedPageBreak/>
        <w:t xml:space="preserve">нежелательных реакциях ЛП через национальную систему сообщения о нежелательных реакциях РК. </w:t>
      </w:r>
    </w:p>
    <w:p w14:paraId="50F63A73" w14:textId="77777777" w:rsidR="00E56A65" w:rsidRPr="00EC5AB6" w:rsidRDefault="00E56A65" w:rsidP="00E56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112D4043" w14:textId="77777777" w:rsidR="00E56A65" w:rsidRPr="00EC5AB6" w:rsidRDefault="00604482" w:rsidP="00E56A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E56A65"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="00E56A65" w:rsidRPr="00EC5AB6">
          <w:rPr>
            <w:rStyle w:val="af"/>
            <w:rFonts w:ascii="Times New Roman" w:hAnsi="Times New Roman"/>
            <w:sz w:val="24"/>
            <w:szCs w:val="24"/>
          </w:rPr>
          <w:t>://</w:t>
        </w:r>
        <w:r w:rsidR="00E56A65"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="00E56A65" w:rsidRPr="00EC5AB6">
          <w:rPr>
            <w:rStyle w:val="af"/>
            <w:rFonts w:ascii="Times New Roman" w:hAnsi="Times New Roman"/>
            <w:sz w:val="24"/>
            <w:szCs w:val="24"/>
          </w:rPr>
          <w:t>.</w:t>
        </w:r>
        <w:r w:rsidR="00E56A65"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r w:rsidR="00E56A65" w:rsidRPr="00EC5AB6">
          <w:rPr>
            <w:rStyle w:val="af"/>
            <w:rFonts w:ascii="Times New Roman" w:hAnsi="Times New Roman"/>
            <w:sz w:val="24"/>
            <w:szCs w:val="24"/>
          </w:rPr>
          <w:t>.</w:t>
        </w:r>
        <w:r w:rsidR="00E56A65"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</w:hyperlink>
    </w:p>
    <w:p w14:paraId="10070383" w14:textId="77777777" w:rsidR="00AC0736" w:rsidRPr="00EC5AB6" w:rsidRDefault="00AC0736" w:rsidP="007856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1E82C4" w14:textId="77777777" w:rsidR="00123DB5" w:rsidRPr="00EC5AB6" w:rsidRDefault="00123DB5" w:rsidP="0078568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14:paraId="458B92A9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uk-UA"/>
        </w:rPr>
        <w:t xml:space="preserve">Симптомы: </w:t>
      </w:r>
      <w:r w:rsidRPr="00EC5AB6">
        <w:rPr>
          <w:rFonts w:ascii="Times New Roman" w:hAnsi="Times New Roman"/>
          <w:sz w:val="24"/>
          <w:szCs w:val="24"/>
        </w:rPr>
        <w:t>Симптомы передозировки могут включать тревожное возбуждение, состояние изменённого сознания, судороги, дезориентацию, сонливость и экстрапирамидные реакции.</w:t>
      </w:r>
    </w:p>
    <w:p w14:paraId="1686482C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eastAsia="Times New Roman" w:hAnsi="Times New Roman"/>
          <w:i/>
          <w:color w:val="000000"/>
          <w:sz w:val="24"/>
          <w:szCs w:val="24"/>
          <w:lang w:eastAsia="uk-UA"/>
        </w:rPr>
        <w:t xml:space="preserve">Лечение: </w:t>
      </w:r>
      <w:r w:rsidRPr="00EC5AB6">
        <w:rPr>
          <w:rFonts w:ascii="Times New Roman" w:hAnsi="Times New Roman"/>
          <w:sz w:val="24"/>
          <w:szCs w:val="24"/>
        </w:rPr>
        <w:t>Специфического антидота для домперидона нет, однако в случае передозировки следует немедленно начать стандартное симптоматическое лечение. Может быть полезным промывание желудка, а также введение активированного угля. Ввиду возможности удлинения интервала QT следует проводить мониторинг ЭКГ. Рекомендуется тщательное медицинское наблюдение и поддерживающая терапия.</w:t>
      </w:r>
    </w:p>
    <w:p w14:paraId="388B6D3E" w14:textId="77777777" w:rsidR="006619C8" w:rsidRPr="00EC5AB6" w:rsidRDefault="006619C8" w:rsidP="006619C8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Антихолинергические, противопаркинсонические средства могут помочь контролировать экстрапирамидные реакции.</w:t>
      </w:r>
    </w:p>
    <w:p w14:paraId="57EAB246" w14:textId="77777777" w:rsidR="00102EBC" w:rsidRPr="00EC5AB6" w:rsidRDefault="00102EBC" w:rsidP="00AC0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1C5FD98" w14:textId="77777777" w:rsidR="00C153F2" w:rsidRPr="00EC5AB6" w:rsidRDefault="00C153F2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14:paraId="039EAC14" w14:textId="77777777" w:rsidR="00C153F2" w:rsidRPr="00EC5AB6" w:rsidRDefault="00C153F2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5.1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14:paraId="793C3867" w14:textId="77777777" w:rsidR="00147AEB" w:rsidRPr="00EC5AB6" w:rsidRDefault="00147AEB" w:rsidP="00147AEB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C5AB6">
        <w:rPr>
          <w:rFonts w:ascii="Times New Roman" w:eastAsia="TimesNewRomanPSMT" w:hAnsi="Times New Roman"/>
          <w:sz w:val="24"/>
          <w:szCs w:val="24"/>
          <w:lang w:eastAsia="ru-RU"/>
        </w:rPr>
        <w:t xml:space="preserve">Фармакотерапевтическая группа: </w:t>
      </w:r>
      <w:r w:rsidRPr="00EC5AB6">
        <w:rPr>
          <w:rFonts w:ascii="Times New Roman" w:hAnsi="Times New Roman"/>
          <w:color w:val="000000"/>
          <w:sz w:val="24"/>
          <w:szCs w:val="24"/>
        </w:rPr>
        <w:t>Препараты для лечения функциональных желудочно-кишечных расстройств. Стимуляторы моторики ЖКТ. Домперидон.</w:t>
      </w:r>
    </w:p>
    <w:p w14:paraId="164CD004" w14:textId="77777777" w:rsidR="00147AEB" w:rsidRPr="00EC5AB6" w:rsidRDefault="00147AEB" w:rsidP="008621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AB6">
        <w:rPr>
          <w:rFonts w:ascii="Times New Roman" w:hAnsi="Times New Roman"/>
          <w:color w:val="000000"/>
          <w:sz w:val="24"/>
          <w:szCs w:val="24"/>
        </w:rPr>
        <w:t xml:space="preserve">Код АТХ </w:t>
      </w:r>
      <w:r w:rsidRPr="00EC5AB6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EC5AB6">
        <w:rPr>
          <w:rFonts w:ascii="Times New Roman" w:hAnsi="Times New Roman"/>
          <w:color w:val="000000"/>
          <w:sz w:val="24"/>
          <w:szCs w:val="24"/>
        </w:rPr>
        <w:t>03</w:t>
      </w:r>
      <w:r w:rsidRPr="00EC5AB6">
        <w:rPr>
          <w:rFonts w:ascii="Times New Roman" w:hAnsi="Times New Roman"/>
          <w:color w:val="000000"/>
          <w:sz w:val="24"/>
          <w:szCs w:val="24"/>
          <w:lang w:val="en-US"/>
        </w:rPr>
        <w:t>FA</w:t>
      </w:r>
      <w:r w:rsidRPr="00EC5AB6">
        <w:rPr>
          <w:rFonts w:ascii="Times New Roman" w:hAnsi="Times New Roman"/>
          <w:color w:val="000000"/>
          <w:sz w:val="24"/>
          <w:szCs w:val="24"/>
        </w:rPr>
        <w:t>03</w:t>
      </w:r>
    </w:p>
    <w:p w14:paraId="1BD4E207" w14:textId="77777777" w:rsidR="008621D7" w:rsidRPr="00EC5AB6" w:rsidRDefault="008621D7" w:rsidP="008621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Домперидон – антагонист дофамина, обладающий противорвотными свойствами.</w:t>
      </w:r>
      <w:r w:rsidRPr="00EC5AB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Д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омперидон в незначительной мере проникает через гематоэнцефалический барьер. Применение домперидона очень редко сопровождается экстрапирамидными побочными действиями, особенно у взрослых, но домперидон стимулирует выделение пролактина из гипофиза. Его противорвотное действие, возможно, обусловлено сочетанием периферического (гастрокинетического) действия и антагонизма к рецепторам дофамина в хеморецепторной триггерной зоне,</w:t>
      </w:r>
      <w:r w:rsidRPr="00EC5AB6">
        <w:rPr>
          <w:rFonts w:ascii="Times New Roman" w:hAnsi="Times New Roman"/>
          <w:sz w:val="24"/>
          <w:szCs w:val="24"/>
        </w:rPr>
        <w:t xml:space="preserve">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который находится за пределами гематоэнцефалического барьера в области пострема. </w:t>
      </w:r>
    </w:p>
    <w:p w14:paraId="50EFDF57" w14:textId="1DCD7EC5" w:rsidR="00C25149" w:rsidRPr="00EC5AB6" w:rsidRDefault="008621D7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применении внутрь домперидон увеличивает продолжительность антральных и дуоденальных сокращений, ускоряет опорожнение желудка и повышает давление сфинктера нижнего отдела пищевода у здоровых людей. Домперидон не оказывает действия на желудочную секрецию.</w:t>
      </w:r>
    </w:p>
    <w:p w14:paraId="5F8FB38E" w14:textId="77777777" w:rsidR="00564597" w:rsidRPr="00EC5AB6" w:rsidRDefault="00564597" w:rsidP="005645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>Клиническое исследование у младенцев и детей в возрасте до 12 лет</w:t>
      </w:r>
    </w:p>
    <w:p w14:paraId="26E82880" w14:textId="77777777" w:rsidR="00564597" w:rsidRPr="00EC5AB6" w:rsidRDefault="00564597" w:rsidP="00564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Многоцентровое, двойное слепое, рандомизированное, плацебо-контролируемое, параллельное, проспективное исследование было проведено для оценки безопасности и эффективности домперидона у 292 детей с острым гастроэнтеритом в возрасте от 6 месяцев до 12 лет (медиана возраста — 7 лет).</w:t>
      </w:r>
    </w:p>
    <w:p w14:paraId="008E2D5A" w14:textId="75F00D6B" w:rsidR="00564597" w:rsidRPr="00EC5AB6" w:rsidRDefault="00564597" w:rsidP="00564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В дополнение к перорал</w:t>
      </w:r>
      <w:r w:rsidR="007808BB" w:rsidRPr="00EC5AB6">
        <w:rPr>
          <w:rFonts w:ascii="Times New Roman" w:hAnsi="Times New Roman"/>
          <w:sz w:val="24"/>
          <w:szCs w:val="24"/>
          <w:lang w:eastAsia="ru-RU"/>
        </w:rPr>
        <w:t>ьной регидратационной терапии (</w:t>
      </w:r>
      <w:r w:rsidR="007808BB" w:rsidRPr="00EC5AB6">
        <w:rPr>
          <w:rFonts w:ascii="Times New Roman" w:hAnsi="Times New Roman"/>
          <w:sz w:val="24"/>
          <w:szCs w:val="24"/>
          <w:lang w:val="kk-KZ" w:eastAsia="ru-RU"/>
        </w:rPr>
        <w:t>П</w:t>
      </w:r>
      <w:r w:rsidRPr="00EC5AB6">
        <w:rPr>
          <w:rFonts w:ascii="Times New Roman" w:hAnsi="Times New Roman"/>
          <w:sz w:val="24"/>
          <w:szCs w:val="24"/>
          <w:lang w:eastAsia="ru-RU"/>
        </w:rPr>
        <w:t>РТ) рандомизированные участники получали пероральную суспензию домперидона в дозе 0,25 мг/кг (максимум до 30 мг домперидона в сутки) или плацебо 3 р</w:t>
      </w:r>
      <w:r w:rsidR="001D725C" w:rsidRPr="00EC5AB6">
        <w:rPr>
          <w:rFonts w:ascii="Times New Roman" w:hAnsi="Times New Roman"/>
          <w:sz w:val="24"/>
          <w:szCs w:val="24"/>
          <w:lang w:eastAsia="ru-RU"/>
        </w:rPr>
        <w:t>аза в день в течение до 7 дней.</w:t>
      </w:r>
    </w:p>
    <w:p w14:paraId="6F850422" w14:textId="0160AE40" w:rsidR="00564597" w:rsidRPr="00EC5AB6" w:rsidRDefault="00564597" w:rsidP="00564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Это исследование не достигло своей первичной цели, а именно — не удалось продемонстрировать, что суспе</w:t>
      </w:r>
      <w:r w:rsidR="007808BB" w:rsidRPr="00EC5AB6">
        <w:rPr>
          <w:rFonts w:ascii="Times New Roman" w:hAnsi="Times New Roman"/>
          <w:sz w:val="24"/>
          <w:szCs w:val="24"/>
          <w:lang w:eastAsia="ru-RU"/>
        </w:rPr>
        <w:t xml:space="preserve">нзия домперидона в сочетании с </w:t>
      </w:r>
      <w:r w:rsidR="007808BB" w:rsidRPr="00EC5AB6">
        <w:rPr>
          <w:rFonts w:ascii="Times New Roman" w:hAnsi="Times New Roman"/>
          <w:sz w:val="24"/>
          <w:szCs w:val="24"/>
          <w:lang w:val="kk-KZ" w:eastAsia="ru-RU"/>
        </w:rPr>
        <w:t>П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РТ более эффективна, чем плацебо в сочетании с </w:t>
      </w:r>
      <w:r w:rsidR="007808BB" w:rsidRPr="00EC5AB6">
        <w:rPr>
          <w:rFonts w:ascii="Times New Roman" w:hAnsi="Times New Roman"/>
          <w:sz w:val="24"/>
          <w:szCs w:val="24"/>
          <w:lang w:val="kk-KZ" w:eastAsia="ru-RU"/>
        </w:rPr>
        <w:t>П</w:t>
      </w:r>
      <w:r w:rsidRPr="00EC5AB6">
        <w:rPr>
          <w:rFonts w:ascii="Times New Roman" w:hAnsi="Times New Roman"/>
          <w:sz w:val="24"/>
          <w:szCs w:val="24"/>
          <w:lang w:eastAsia="ru-RU"/>
        </w:rPr>
        <w:t>РТ, в снижении количества эпизодов рвоты в течение первых 48 часов после первого приёма препарата (см. раздел 4.2).</w:t>
      </w:r>
    </w:p>
    <w:p w14:paraId="1D57DA4F" w14:textId="77777777" w:rsidR="00C153F2" w:rsidRPr="00EC5AB6" w:rsidRDefault="00C153F2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="00DD5E3A"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14:paraId="4E5ECA09" w14:textId="77777777" w:rsidR="00C25149" w:rsidRPr="00EC5AB6" w:rsidRDefault="00C25149" w:rsidP="00C2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5AB6">
        <w:rPr>
          <w:rFonts w:ascii="Times New Roman" w:hAnsi="Times New Roman"/>
          <w:i/>
          <w:sz w:val="24"/>
          <w:szCs w:val="24"/>
          <w:lang w:eastAsia="ru-RU"/>
        </w:rPr>
        <w:t>Абсорбция</w:t>
      </w:r>
    </w:p>
    <w:p w14:paraId="2579A419" w14:textId="77777777" w:rsidR="00C25149" w:rsidRPr="00EC5AB6" w:rsidRDefault="00C25149" w:rsidP="00C2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 xml:space="preserve">Домперидон быстро абсорбируется после приема внутрь </w:t>
      </w:r>
      <w:r w:rsidRPr="00EC5AB6">
        <w:rPr>
          <w:rFonts w:ascii="Times New Roman" w:hAnsi="Times New Roman"/>
          <w:color w:val="000000"/>
          <w:sz w:val="24"/>
          <w:szCs w:val="24"/>
        </w:rPr>
        <w:t>с достижением максимальных уровней в плазме крови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 примерно через 1 час после приема. Значения Cmax и AUC </w:t>
      </w:r>
      <w:r w:rsidRPr="00EC5AB6">
        <w:rPr>
          <w:rFonts w:ascii="Times New Roman" w:hAnsi="Times New Roman"/>
          <w:sz w:val="24"/>
          <w:szCs w:val="24"/>
          <w:lang w:eastAsia="ru-RU"/>
        </w:rPr>
        <w:lastRenderedPageBreak/>
        <w:t>домперидона увеличивались пропорционально в диапазоне доз от 10 мг до 20 мг. Наблюдалось 2-3-кратное накопление AUC домперидона при повторном дозировании домперидона четыре раза в день (каждые 5 часов) в течение 4 дней.</w:t>
      </w:r>
    </w:p>
    <w:p w14:paraId="46990AFA" w14:textId="77777777" w:rsidR="00914426" w:rsidRPr="00EC5AB6" w:rsidRDefault="00C25149" w:rsidP="00C2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Хотя биодоступность домперидона повышается у здоровых добровольцев при приеме после еды, пациентам с желудочно-кишечными жалобами следует принимать домперидон за 15-30 минут до еды. Снижение кислотности желудка ухудшает всасывание домперидона. Пероральная биодоступность снижается при одновременном назначении циметидина и бикарбоната натрия.</w:t>
      </w:r>
    </w:p>
    <w:p w14:paraId="784705FD" w14:textId="77777777" w:rsidR="00144855" w:rsidRPr="00EC5AB6" w:rsidRDefault="00144855" w:rsidP="0014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5AB6">
        <w:rPr>
          <w:rFonts w:ascii="Times New Roman" w:hAnsi="Times New Roman"/>
          <w:i/>
          <w:sz w:val="24"/>
          <w:szCs w:val="24"/>
          <w:lang w:eastAsia="ru-RU"/>
        </w:rPr>
        <w:t>Распределение</w:t>
      </w:r>
    </w:p>
    <w:p w14:paraId="57BDADB3" w14:textId="77777777" w:rsidR="00144855" w:rsidRPr="00EC5AB6" w:rsidRDefault="00144855" w:rsidP="0014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Пероральный домперидон, по-видимому, не накапливает и не вызывает собственный метаболизм; пиковый уровень в плазме через 90 минут 21 нг / мл после двухнедельного перорального приема 30 мг в день был почти таким же, как и 18 нг / мл после первой дозы. Домперидон на 91-93% связывается  с белками плазмы. Исследования распределения препарата с радиоактивной меткой у животных показали широкое распределение в тканях, но низкую концентрацию в мозге. Небольшие количества препарата проникают через плаценту у крыс.</w:t>
      </w:r>
    </w:p>
    <w:p w14:paraId="22BD905C" w14:textId="77777777" w:rsidR="00144855" w:rsidRPr="00EC5AB6" w:rsidRDefault="00144855" w:rsidP="0014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5AB6">
        <w:rPr>
          <w:rFonts w:ascii="Times New Roman" w:hAnsi="Times New Roman"/>
          <w:i/>
          <w:sz w:val="24"/>
          <w:szCs w:val="24"/>
          <w:lang w:eastAsia="ru-RU"/>
        </w:rPr>
        <w:t>Биотрансформация</w:t>
      </w:r>
    </w:p>
    <w:p w14:paraId="5D57D537" w14:textId="77777777" w:rsidR="00144855" w:rsidRPr="00EC5AB6" w:rsidRDefault="00144855" w:rsidP="0014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Препарат метаболизируется в печени путем гидроксилирования и N-дезалкилирования. При исследовании метаболизма препарата in vitro с применением диагностических ингибиторов было установлено, что изофермент 3А4 является основным изоферментом системы цитохрома Р450, который принимает участие в процессе N-дезалкилирования домперидона, тогда как изоферменты CYP3A4, CYP1A2, CYP2E1 принимают участие в процессе ароматического гидроксилирования домперидона.</w:t>
      </w:r>
    </w:p>
    <w:p w14:paraId="0D9B76E0" w14:textId="77777777" w:rsidR="00EA0359" w:rsidRPr="00EC5AB6" w:rsidRDefault="00EA0359" w:rsidP="00EA03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EC5AB6">
        <w:rPr>
          <w:rFonts w:ascii="Times New Roman" w:hAnsi="Times New Roman"/>
          <w:i/>
          <w:sz w:val="24"/>
          <w:szCs w:val="24"/>
          <w:lang w:bidi="ru-RU"/>
        </w:rPr>
        <w:t>Элиминация</w:t>
      </w:r>
    </w:p>
    <w:p w14:paraId="202C2553" w14:textId="77777777" w:rsidR="00EA0359" w:rsidRPr="00EC5AB6" w:rsidRDefault="00EA0359" w:rsidP="00EA035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Выводится с мочой (31 %) и калом (66 %). В неизмененном виде выводится лишь незначительный процент препарата (10 % – с калом и приблизительно 1 % – с мочой). </w:t>
      </w:r>
    </w:p>
    <w:p w14:paraId="58A0B299" w14:textId="77777777" w:rsidR="007C0031" w:rsidRPr="00EC5AB6" w:rsidRDefault="00EA0359" w:rsidP="00EA035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Период полувыведения домперидона из плазмы крови после приема разовой дозы </w:t>
      </w:r>
      <w:r w:rsidR="00763369"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внутрь </w:t>
      </w:r>
      <w:r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составляет 7–9 часов</w:t>
      </w:r>
      <w:r w:rsidR="00763369" w:rsidRPr="00EC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здоровых добровольцев, но у пациентов с тяжелой почечной недостаточностью он увеличивается.</w:t>
      </w:r>
    </w:p>
    <w:p w14:paraId="27F0826E" w14:textId="77777777" w:rsidR="007C0031" w:rsidRPr="00EC5AB6" w:rsidRDefault="007C0031" w:rsidP="007C0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5AB6">
        <w:rPr>
          <w:rFonts w:ascii="Times New Roman" w:hAnsi="Times New Roman"/>
          <w:i/>
          <w:sz w:val="24"/>
          <w:szCs w:val="24"/>
          <w:lang w:eastAsia="ru-RU"/>
        </w:rPr>
        <w:t>Печеночная недостаточность</w:t>
      </w:r>
    </w:p>
    <w:p w14:paraId="50C8908C" w14:textId="77777777" w:rsidR="007C0031" w:rsidRPr="00EC5AB6" w:rsidRDefault="007C0031" w:rsidP="007C0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 xml:space="preserve">У пациентов с печеночной недостаточностью средней степени тяжести (оценка Пью от 7 до 9, оценка по шкале Чайлд-Пью), AUC и Cmax домперидона в 2,9 и 1,5 раза выше, чем у здоровых добровольцев. Несвязанная фракция увеличивается на 25%, а конечный период полувыведения увеличивается с 15 до 23 часов. 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 xml:space="preserve">Пациенты </w:t>
      </w:r>
      <w:r w:rsidRPr="00EC5AB6">
        <w:rPr>
          <w:rFonts w:ascii="Times New Roman" w:hAnsi="Times New Roman"/>
          <w:sz w:val="24"/>
          <w:szCs w:val="24"/>
          <w:lang w:eastAsia="ru-RU"/>
        </w:rPr>
        <w:t>с печеночной недостаточностью средней степени тяжести имеют более низкую системную экспозицию, чем здоровые добровольцы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>,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 на основ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>ании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 Cmax и AUC, без изменений в связывании белка или конечном периоде полувыведения. 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 xml:space="preserve">Пациенты с 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печеночной недостаточностью 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 xml:space="preserve">тяжелой степени 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не изучались. Домперидон не следует применять у пациентов с 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 xml:space="preserve">печеночной недостаточностью </w:t>
      </w:r>
      <w:r w:rsidRPr="00EC5AB6">
        <w:rPr>
          <w:rFonts w:ascii="Times New Roman" w:hAnsi="Times New Roman"/>
          <w:sz w:val="24"/>
          <w:szCs w:val="24"/>
          <w:lang w:eastAsia="ru-RU"/>
        </w:rPr>
        <w:t xml:space="preserve">тяжелой </w:t>
      </w:r>
      <w:r w:rsidR="00B862B0" w:rsidRPr="00EC5AB6">
        <w:rPr>
          <w:rFonts w:ascii="Times New Roman" w:hAnsi="Times New Roman"/>
          <w:sz w:val="24"/>
          <w:szCs w:val="24"/>
          <w:lang w:eastAsia="ru-RU"/>
        </w:rPr>
        <w:t>и средней степени тяжести</w:t>
      </w:r>
      <w:r w:rsidRPr="00EC5AB6">
        <w:rPr>
          <w:rFonts w:ascii="Times New Roman" w:hAnsi="Times New Roman"/>
          <w:sz w:val="24"/>
          <w:szCs w:val="24"/>
          <w:lang w:eastAsia="ru-RU"/>
        </w:rPr>
        <w:t>.</w:t>
      </w:r>
    </w:p>
    <w:p w14:paraId="395E3BDA" w14:textId="77777777" w:rsidR="007C0031" w:rsidRPr="00EC5AB6" w:rsidRDefault="007C0031" w:rsidP="007C0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5AB6">
        <w:rPr>
          <w:rFonts w:ascii="Times New Roman" w:hAnsi="Times New Roman"/>
          <w:i/>
          <w:sz w:val="24"/>
          <w:szCs w:val="24"/>
          <w:lang w:eastAsia="ru-RU"/>
        </w:rPr>
        <w:t>Почечная недостаточность</w:t>
      </w:r>
    </w:p>
    <w:p w14:paraId="6F2AF0BC" w14:textId="77777777" w:rsidR="007C0031" w:rsidRPr="00EC5AB6" w:rsidRDefault="007C0031" w:rsidP="007C0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="00C34910" w:rsidRPr="00EC5AB6">
        <w:rPr>
          <w:rFonts w:ascii="Times New Roman" w:hAnsi="Times New Roman"/>
          <w:sz w:val="24"/>
          <w:szCs w:val="24"/>
          <w:lang w:eastAsia="ru-RU"/>
        </w:rPr>
        <w:t xml:space="preserve">пациентов </w:t>
      </w:r>
      <w:r w:rsidRPr="00EC5AB6">
        <w:rPr>
          <w:rFonts w:ascii="Times New Roman" w:hAnsi="Times New Roman"/>
          <w:sz w:val="24"/>
          <w:szCs w:val="24"/>
          <w:lang w:eastAsia="ru-RU"/>
        </w:rPr>
        <w:t>с тяжелой почечной недостаточно</w:t>
      </w:r>
      <w:r w:rsidR="00C34910" w:rsidRPr="00EC5AB6">
        <w:rPr>
          <w:rFonts w:ascii="Times New Roman" w:hAnsi="Times New Roman"/>
          <w:sz w:val="24"/>
          <w:szCs w:val="24"/>
          <w:lang w:eastAsia="ru-RU"/>
        </w:rPr>
        <w:t>стью (клиренс креатинина &lt;30 мл/</w:t>
      </w:r>
      <w:r w:rsidRPr="00EC5AB6">
        <w:rPr>
          <w:rFonts w:ascii="Times New Roman" w:hAnsi="Times New Roman"/>
          <w:sz w:val="24"/>
          <w:szCs w:val="24"/>
          <w:lang w:eastAsia="ru-RU"/>
        </w:rPr>
        <w:t>мин / 1,73 м</w:t>
      </w:r>
      <w:r w:rsidRPr="00EC5AB6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EC5AB6">
        <w:rPr>
          <w:rFonts w:ascii="Times New Roman" w:hAnsi="Times New Roman"/>
          <w:sz w:val="24"/>
          <w:szCs w:val="24"/>
          <w:lang w:eastAsia="ru-RU"/>
        </w:rPr>
        <w:t>) период полувыведения домперидона был увеличен с 7,4 до 20,8 часа, но уровни препаратов в плазме были ниже, чем у здоровых добровольцев.</w:t>
      </w:r>
    </w:p>
    <w:p w14:paraId="5D6254A1" w14:textId="77777777" w:rsidR="007C0031" w:rsidRPr="00EC5AB6" w:rsidRDefault="007C0031" w:rsidP="007C0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 xml:space="preserve">Поскольку через почки выделяется очень мало неизмененного лекарственного </w:t>
      </w:r>
      <w:r w:rsidR="00C34910" w:rsidRPr="00EC5AB6">
        <w:rPr>
          <w:rFonts w:ascii="Times New Roman" w:hAnsi="Times New Roman"/>
          <w:sz w:val="24"/>
          <w:szCs w:val="24"/>
          <w:lang w:eastAsia="ru-RU"/>
        </w:rPr>
        <w:t xml:space="preserve">препарата </w:t>
      </w:r>
      <w:r w:rsidRPr="00EC5AB6">
        <w:rPr>
          <w:rFonts w:ascii="Times New Roman" w:hAnsi="Times New Roman"/>
          <w:sz w:val="24"/>
          <w:szCs w:val="24"/>
          <w:lang w:eastAsia="ru-RU"/>
        </w:rPr>
        <w:t>(приблизительно 1%), маловероятно, что дозу однократного введения необходимо корректировать у пациентов с почечной недостаточностью.</w:t>
      </w:r>
    </w:p>
    <w:p w14:paraId="205599E7" w14:textId="77777777" w:rsidR="00EA0359" w:rsidRPr="00EC5AB6" w:rsidRDefault="007C0031" w:rsidP="007C00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Однако при повторном введении частоту дозирования следует уменьшить до одного или двух раз в день в зависимости от степени выраженности нарушения, и может потребоваться уменьшение дозы.</w:t>
      </w:r>
    </w:p>
    <w:p w14:paraId="0EFDFE99" w14:textId="77777777" w:rsidR="009F58C4" w:rsidRPr="00EC5AB6" w:rsidRDefault="009F58C4" w:rsidP="007856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11CF897" w14:textId="77777777" w:rsidR="00DF3381" w:rsidRPr="00EC5AB6" w:rsidRDefault="00DF3381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5.3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Да</w:t>
      </w:r>
      <w:r w:rsidR="00DD5E3A"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нные доклинической безопасности</w:t>
      </w:r>
    </w:p>
    <w:p w14:paraId="0F799DDD" w14:textId="77777777" w:rsidR="003C2D61" w:rsidRPr="00EC5AB6" w:rsidRDefault="003C2D61" w:rsidP="003C2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C5AB6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Данные электрофизиологических исследований   </w:t>
      </w:r>
      <w:r w:rsidRPr="00EC5AB6">
        <w:rPr>
          <w:rFonts w:ascii="Times New Roman" w:hAnsi="Times New Roman"/>
          <w:i/>
          <w:iCs/>
          <w:sz w:val="24"/>
          <w:szCs w:val="24"/>
          <w:lang w:eastAsia="ru-RU"/>
        </w:rPr>
        <w:t>in vitro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и </w:t>
      </w:r>
      <w:r w:rsidRPr="00EC5AB6">
        <w:rPr>
          <w:rFonts w:ascii="Times New Roman" w:hAnsi="Times New Roman"/>
          <w:i/>
          <w:iCs/>
          <w:sz w:val="24"/>
          <w:szCs w:val="24"/>
          <w:lang w:eastAsia="ru-RU"/>
        </w:rPr>
        <w:t>in vivo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говорят о том, что Домперидон вызывает умеренный риск удлинения интервала QT у человека. В экспериментах </w:t>
      </w:r>
      <w:r w:rsidRPr="00EC5AB6">
        <w:rPr>
          <w:rFonts w:ascii="Times New Roman" w:hAnsi="Times New Roman"/>
          <w:i/>
          <w:iCs/>
          <w:sz w:val="24"/>
          <w:szCs w:val="24"/>
          <w:lang w:eastAsia="ru-RU"/>
        </w:rPr>
        <w:t>in vitro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, проводимых на изолированных клетках, трансфицированных  hERG (ген специфических калиевых каналов сердца), и на изолированных миоцитах морских свинок, уровни ингибирования через IKr каналы, согласно значениям IC50 превосходили в 26 и 47 раз уровни ингибирования свободных плазменных концентраций у человека после приема максимальной суточной дозы 10 мг три раза в сутки. Уровни безопасности для удлинения действия потенциальной длительности в экспериментах </w:t>
      </w:r>
      <w:r w:rsidRPr="00EC5AB6">
        <w:rPr>
          <w:rFonts w:ascii="Times New Roman" w:hAnsi="Times New Roman"/>
          <w:i/>
          <w:iCs/>
          <w:sz w:val="24"/>
          <w:szCs w:val="24"/>
          <w:lang w:eastAsia="ru-RU"/>
        </w:rPr>
        <w:t>in vitro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на изолированных тканях сердца превышали свободные плазменные концентрации у человека при максимальной суточной дозе (10 мг три раза в сутки) в 45 раз. Уровни безопасности в про-аритмических моделях </w:t>
      </w:r>
      <w:r w:rsidRPr="00EC5AB6">
        <w:rPr>
          <w:rFonts w:ascii="Times New Roman" w:hAnsi="Times New Roman"/>
          <w:i/>
          <w:iCs/>
          <w:sz w:val="24"/>
          <w:szCs w:val="24"/>
          <w:lang w:eastAsia="ru-RU"/>
        </w:rPr>
        <w:t>in vitro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(изолированное сердце, перфузируемое по Лангендорфу) превышали свободные плазменные концентрации у человека при максимальной суточной дозе (10 мг три раза в сутки) </w:t>
      </w:r>
      <w:r w:rsidR="00B4595A"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от 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B4595A"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9 до 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45 раз. В </w:t>
      </w:r>
      <w:r w:rsidRPr="00EC5AB6">
        <w:rPr>
          <w:rFonts w:ascii="Times New Roman" w:hAnsi="Times New Roman"/>
          <w:i/>
          <w:iCs/>
          <w:sz w:val="24"/>
          <w:szCs w:val="24"/>
          <w:lang w:eastAsia="ru-RU"/>
        </w:rPr>
        <w:t>in vivo</w:t>
      </w: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 моделях дозы, не вызывающие отрицательной реакции при удлинении интервала QT у собак, и индукция аритмии у кроликов в моделях, сенсибилизированных к torsade de points превышали свободные плазменные концентрации у человека при максимальной суточной дозе (10 мг три раза в сутки)  более чем в 22 раза и 435 раз, соответственно. В анестезированной модели морской свинки после медленных внутривенных инфузий не происходило влияния на интервал QT при общих плазменных концентрациях 45.4 нг/мл, что в 3 раза превышает  общие плазменные концентрации у человека при максимальной суточной дозе (10 мг три раза в сутки). Актуальность последнего исследования для человека при приеме пероральных доз домперидона остается неясной. </w:t>
      </w:r>
    </w:p>
    <w:p w14:paraId="47A9D511" w14:textId="77777777" w:rsidR="003C2D61" w:rsidRPr="00EC5AB6" w:rsidRDefault="003C2D61" w:rsidP="003C2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C5AB6">
        <w:rPr>
          <w:rFonts w:ascii="Times New Roman" w:hAnsi="Times New Roman"/>
          <w:iCs/>
          <w:sz w:val="24"/>
          <w:szCs w:val="24"/>
          <w:lang w:eastAsia="ru-RU"/>
        </w:rPr>
        <w:t xml:space="preserve">В присутствии ингибирования метаболизма через CYP3A4 свободные плазменные концентрации домперидона могут повышаться почти в три раза. </w:t>
      </w:r>
    </w:p>
    <w:p w14:paraId="595FC657" w14:textId="77777777" w:rsidR="00CE03ED" w:rsidRPr="00EC5AB6" w:rsidRDefault="003C2D61" w:rsidP="003C2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C5AB6">
        <w:rPr>
          <w:rFonts w:ascii="Times New Roman" w:hAnsi="Times New Roman"/>
          <w:iCs/>
          <w:sz w:val="24"/>
          <w:szCs w:val="24"/>
          <w:lang w:eastAsia="ru-RU"/>
        </w:rPr>
        <w:t>Наблюдалось тератогенное действие препарата при назначении высоких токсичных доз крысам (дозы превышали рекомендуемые дозы для человека в 40 раз). Не отмечалось тератогенного действия у кроликов и мышей.</w:t>
      </w:r>
    </w:p>
    <w:p w14:paraId="4A48D74A" w14:textId="77777777" w:rsidR="003C2D61" w:rsidRPr="00EC5AB6" w:rsidRDefault="003C2D61" w:rsidP="007856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77809FF" w14:textId="77777777" w:rsidR="00DF3381" w:rsidRPr="00EC5AB6" w:rsidRDefault="00DF3381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14:paraId="03246CDB" w14:textId="77777777" w:rsidR="005921EA" w:rsidRPr="00EC5AB6" w:rsidRDefault="00DF3381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9180"/>
      </w:tblGrid>
      <w:tr w:rsidR="003C2D61" w:rsidRPr="00EC5AB6" w14:paraId="2E4DC98E" w14:textId="77777777" w:rsidTr="00A9733C">
        <w:tc>
          <w:tcPr>
            <w:tcW w:w="6204" w:type="dxa"/>
          </w:tcPr>
          <w:p w14:paraId="2770D2A5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Сукроза</w:t>
            </w:r>
          </w:p>
        </w:tc>
      </w:tr>
      <w:tr w:rsidR="003C2D61" w:rsidRPr="00EC5AB6" w14:paraId="431B20B9" w14:textId="77777777" w:rsidTr="00A9733C">
        <w:tc>
          <w:tcPr>
            <w:tcW w:w="6204" w:type="dxa"/>
          </w:tcPr>
          <w:p w14:paraId="793A0D3F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Кремния диоксид коллоидный безводный</w:t>
            </w:r>
          </w:p>
        </w:tc>
      </w:tr>
      <w:tr w:rsidR="003C2D61" w:rsidRPr="00EC5AB6" w14:paraId="16089F58" w14:textId="77777777" w:rsidTr="00A9733C">
        <w:tc>
          <w:tcPr>
            <w:tcW w:w="6204" w:type="dxa"/>
          </w:tcPr>
          <w:p w14:paraId="02C33659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Понсо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-4R </w:t>
            </w: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(Е124)</w:t>
            </w:r>
          </w:p>
        </w:tc>
      </w:tr>
      <w:tr w:rsidR="003C2D61" w:rsidRPr="00EC5AB6" w14:paraId="17E07AC3" w14:textId="77777777" w:rsidTr="00A9733C">
        <w:tc>
          <w:tcPr>
            <w:tcW w:w="6204" w:type="dxa"/>
          </w:tcPr>
          <w:p w14:paraId="63D5B07C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Натрия бензоат</w:t>
            </w:r>
          </w:p>
        </w:tc>
      </w:tr>
      <w:tr w:rsidR="003C2D61" w:rsidRPr="00EC5AB6" w14:paraId="33BB836F" w14:textId="77777777" w:rsidTr="00A9733C">
        <w:tc>
          <w:tcPr>
            <w:tcW w:w="6204" w:type="dxa"/>
          </w:tcPr>
          <w:p w14:paraId="19D24C08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Кислоты лимонной моногидрат</w:t>
            </w:r>
          </w:p>
        </w:tc>
      </w:tr>
      <w:tr w:rsidR="003C2D61" w:rsidRPr="00EC5AB6" w14:paraId="1C48104A" w14:textId="77777777" w:rsidTr="00A9733C">
        <w:tc>
          <w:tcPr>
            <w:tcW w:w="6204" w:type="dxa"/>
          </w:tcPr>
          <w:p w14:paraId="3BADF977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Жидкая вишневая эссенция</w:t>
            </w:r>
          </w:p>
        </w:tc>
      </w:tr>
      <w:tr w:rsidR="003C2D61" w:rsidRPr="00EC5AB6" w14:paraId="57EAF5DF" w14:textId="77777777" w:rsidTr="00A9733C">
        <w:tc>
          <w:tcPr>
            <w:tcW w:w="6204" w:type="dxa"/>
          </w:tcPr>
          <w:p w14:paraId="13A5BA5B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Полисорбат-80 (Твин-80)</w:t>
            </w:r>
          </w:p>
        </w:tc>
      </w:tr>
      <w:tr w:rsidR="003C2D61" w:rsidRPr="00EC5AB6" w14:paraId="231EE5FB" w14:textId="77777777" w:rsidTr="00A9733C">
        <w:tc>
          <w:tcPr>
            <w:tcW w:w="6204" w:type="dxa"/>
          </w:tcPr>
          <w:p w14:paraId="6BE74A6B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Натрия метилгидроксибензоат</w:t>
            </w:r>
          </w:p>
        </w:tc>
      </w:tr>
      <w:tr w:rsidR="003C2D61" w:rsidRPr="00EC5AB6" w14:paraId="3423E519" w14:textId="77777777" w:rsidTr="00A9733C">
        <w:tc>
          <w:tcPr>
            <w:tcW w:w="6204" w:type="dxa"/>
          </w:tcPr>
          <w:p w14:paraId="73699271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Натрия пропилгидроксибензоат</w:t>
            </w:r>
          </w:p>
        </w:tc>
      </w:tr>
      <w:tr w:rsidR="003C2D61" w:rsidRPr="00EC5AB6" w14:paraId="319FB910" w14:textId="77777777" w:rsidTr="00A9733C">
        <w:tc>
          <w:tcPr>
            <w:tcW w:w="6204" w:type="dxa"/>
          </w:tcPr>
          <w:p w14:paraId="6018C739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Динатрия эдетат</w:t>
            </w:r>
          </w:p>
        </w:tc>
      </w:tr>
      <w:tr w:rsidR="003C2D61" w:rsidRPr="00EC5AB6" w14:paraId="1B3245EA" w14:textId="77777777" w:rsidTr="00A9733C">
        <w:tc>
          <w:tcPr>
            <w:tcW w:w="6204" w:type="dxa"/>
          </w:tcPr>
          <w:p w14:paraId="578B6F1B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Ксантановая камедь</w:t>
            </w:r>
          </w:p>
        </w:tc>
      </w:tr>
      <w:tr w:rsidR="003C2D61" w:rsidRPr="00EC5AB6" w14:paraId="049ECBDC" w14:textId="77777777" w:rsidTr="00A9733C">
        <w:tc>
          <w:tcPr>
            <w:tcW w:w="6204" w:type="dxa"/>
          </w:tcPr>
          <w:p w14:paraId="72B0D315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Сорбитол жидкий (не кристаллизующийся 70 %)</w:t>
            </w:r>
          </w:p>
        </w:tc>
      </w:tr>
      <w:tr w:rsidR="003C2D61" w:rsidRPr="00EC5AB6" w14:paraId="161A0047" w14:textId="77777777" w:rsidTr="00A9733C">
        <w:tc>
          <w:tcPr>
            <w:tcW w:w="6204" w:type="dxa"/>
          </w:tcPr>
          <w:p w14:paraId="5AFF7AE1" w14:textId="77777777" w:rsidR="003C2D61" w:rsidRPr="00EC5AB6" w:rsidRDefault="003C2D61" w:rsidP="003C2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Глицерин</w:t>
            </w:r>
          </w:p>
        </w:tc>
      </w:tr>
      <w:tr w:rsidR="003C2D61" w:rsidRPr="00EC5AB6" w14:paraId="77F0EC33" w14:textId="77777777" w:rsidTr="00A9733C">
        <w:tc>
          <w:tcPr>
            <w:tcW w:w="6204" w:type="dxa"/>
          </w:tcPr>
          <w:p w14:paraId="7E8964E7" w14:textId="77777777" w:rsidR="003C2D61" w:rsidRPr="00EC5AB6" w:rsidRDefault="003C2D61" w:rsidP="00A379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5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Вода очищенная</w:t>
            </w:r>
          </w:p>
        </w:tc>
      </w:tr>
    </w:tbl>
    <w:p w14:paraId="70A24B26" w14:textId="77777777" w:rsidR="00DF3381" w:rsidRPr="00EC5AB6" w:rsidRDefault="00DF3381" w:rsidP="00A379D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6.2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14:paraId="1D29DCEE" w14:textId="77777777" w:rsidR="002879FF" w:rsidRPr="00EC5AB6" w:rsidRDefault="002879FF" w:rsidP="0078568D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EC5AB6">
        <w:rPr>
          <w:rFonts w:ascii="Times New Roman" w:eastAsia="TimesNewRomanPSMT" w:hAnsi="Times New Roman"/>
          <w:sz w:val="24"/>
          <w:szCs w:val="24"/>
          <w:lang w:eastAsia="ru-RU"/>
        </w:rPr>
        <w:t>Не применимо</w:t>
      </w:r>
    </w:p>
    <w:p w14:paraId="6A0D4E21" w14:textId="77777777" w:rsidR="009128A3" w:rsidRPr="00EC5AB6" w:rsidRDefault="009128A3" w:rsidP="007856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EC5AB6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EC5AB6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EC5AB6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14:paraId="1B7B469F" w14:textId="77777777" w:rsidR="002879FF" w:rsidRPr="00EC5AB6" w:rsidRDefault="002879FF" w:rsidP="007856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EC5AB6">
        <w:rPr>
          <w:rFonts w:ascii="Times New Roman" w:hAnsi="Times New Roman"/>
          <w:sz w:val="24"/>
          <w:szCs w:val="24"/>
          <w:lang w:bidi="ru-RU"/>
        </w:rPr>
        <w:t>3 года</w:t>
      </w:r>
    </w:p>
    <w:p w14:paraId="6350F430" w14:textId="77777777" w:rsidR="00CE03ED" w:rsidRPr="00EC5AB6" w:rsidRDefault="00CE03ED" w:rsidP="007856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  <w:lang w:bidi="ru-RU"/>
        </w:rPr>
        <w:t>Не применять по истечении срока годности.</w:t>
      </w:r>
    </w:p>
    <w:p w14:paraId="33B4B8A5" w14:textId="77777777" w:rsidR="00632571" w:rsidRPr="00EC5AB6" w:rsidRDefault="00632571" w:rsidP="007856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EC5AB6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371C584D" w14:textId="77777777" w:rsidR="002879FF" w:rsidRPr="00EC5AB6" w:rsidRDefault="002879FF" w:rsidP="002879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 xml:space="preserve">Хранить в защищенном от света месте при температуре не выше 25 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0"/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С.</w:t>
      </w:r>
    </w:p>
    <w:p w14:paraId="55744AF4" w14:textId="77777777" w:rsidR="00632571" w:rsidRPr="00EC5AB6" w:rsidRDefault="00632571" w:rsidP="002879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</w:rPr>
        <w:t xml:space="preserve">Хранить в недоступном для детей месте! </w:t>
      </w:r>
      <w:bookmarkStart w:id="10" w:name="2175220289"/>
    </w:p>
    <w:bookmarkEnd w:id="10"/>
    <w:p w14:paraId="696C4955" w14:textId="77777777" w:rsidR="00B90A1E" w:rsidRPr="00EC5AB6" w:rsidRDefault="00EC480E" w:rsidP="0078568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B90A1E"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6507"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  <w:r w:rsidR="00B90A1E"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p w14:paraId="7A4621C9" w14:textId="77777777" w:rsidR="00BD2D13" w:rsidRPr="00EC5AB6" w:rsidRDefault="00BD2D13" w:rsidP="00D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AB6">
        <w:rPr>
          <w:rFonts w:ascii="Times New Roman" w:hAnsi="Times New Roman"/>
          <w:sz w:val="24"/>
          <w:szCs w:val="24"/>
          <w:lang w:eastAsia="ru-RU"/>
        </w:rPr>
        <w:t>По 60 мл или 100 мл в пластиковые флаконы янтарного цвета.  По 1 флакону с мерным колпачком вместе  с инструкцией по медицинскому применению на казахском и русском языках вкладывают в пачку из картона.</w:t>
      </w:r>
    </w:p>
    <w:p w14:paraId="6F8B090A" w14:textId="77777777" w:rsidR="00B90A1E" w:rsidRPr="00EC5AB6" w:rsidRDefault="00B90A1E" w:rsidP="00D31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EC5AB6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</w:t>
      </w:r>
      <w:r w:rsidR="00A26BB4"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NewRomanPSMT" w:hAnsi="Times New Roman"/>
          <w:b/>
          <w:sz w:val="24"/>
          <w:szCs w:val="24"/>
          <w:lang w:eastAsia="ru-RU"/>
        </w:rPr>
        <w:t>после применения лекарственного препарата или работы с ним.</w:t>
      </w:r>
    </w:p>
    <w:p w14:paraId="43E6A990" w14:textId="77777777" w:rsidR="002879FF" w:rsidRPr="00EC5AB6" w:rsidRDefault="002879FF" w:rsidP="007856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5AB6">
        <w:rPr>
          <w:rFonts w:ascii="Times New Roman" w:hAnsi="Times New Roman"/>
          <w:sz w:val="24"/>
          <w:szCs w:val="24"/>
        </w:rPr>
        <w:t>Не применимо</w:t>
      </w:r>
    </w:p>
    <w:p w14:paraId="0303C691" w14:textId="77777777" w:rsidR="00724DB0" w:rsidRPr="00EC5AB6" w:rsidRDefault="004200EA" w:rsidP="007856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C5AB6">
        <w:rPr>
          <w:rFonts w:ascii="Times New Roman" w:hAnsi="Times New Roman"/>
          <w:b/>
          <w:bCs/>
          <w:sz w:val="24"/>
          <w:szCs w:val="24"/>
        </w:rPr>
        <w:t xml:space="preserve">6.7 </w:t>
      </w:r>
      <w:r w:rsidR="005921EA" w:rsidRPr="00EC5AB6">
        <w:rPr>
          <w:rFonts w:ascii="Times New Roman" w:hAnsi="Times New Roman"/>
          <w:b/>
          <w:bCs/>
          <w:sz w:val="24"/>
          <w:szCs w:val="24"/>
        </w:rPr>
        <w:t>Условия о</w:t>
      </w:r>
      <w:r w:rsidRPr="00EC5AB6">
        <w:rPr>
          <w:rFonts w:ascii="Times New Roman" w:hAnsi="Times New Roman"/>
          <w:b/>
          <w:bCs/>
          <w:sz w:val="24"/>
          <w:szCs w:val="24"/>
        </w:rPr>
        <w:t>тпуск</w:t>
      </w:r>
      <w:r w:rsidR="005921EA" w:rsidRPr="00EC5AB6">
        <w:rPr>
          <w:rFonts w:ascii="Times New Roman" w:hAnsi="Times New Roman"/>
          <w:b/>
          <w:bCs/>
          <w:sz w:val="24"/>
          <w:szCs w:val="24"/>
        </w:rPr>
        <w:t>а</w:t>
      </w:r>
      <w:r w:rsidRPr="00EC5AB6">
        <w:rPr>
          <w:rFonts w:ascii="Times New Roman" w:hAnsi="Times New Roman"/>
          <w:b/>
          <w:bCs/>
          <w:sz w:val="24"/>
          <w:szCs w:val="24"/>
        </w:rPr>
        <w:t xml:space="preserve"> из аптек</w:t>
      </w:r>
      <w:r w:rsidR="00D041C3" w:rsidRPr="00EC5A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2E56691" w14:textId="77777777" w:rsidR="00D041C3" w:rsidRPr="00EC5AB6" w:rsidRDefault="00724DB0" w:rsidP="007856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5AB6">
        <w:rPr>
          <w:rFonts w:ascii="Times New Roman" w:hAnsi="Times New Roman"/>
          <w:bCs/>
          <w:sz w:val="24"/>
          <w:szCs w:val="24"/>
        </w:rPr>
        <w:t>По рецепту</w:t>
      </w:r>
    </w:p>
    <w:p w14:paraId="759CA3DD" w14:textId="77777777" w:rsidR="00D3112C" w:rsidRPr="00EC5AB6" w:rsidRDefault="00D3112C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1547484E" w14:textId="77777777" w:rsidR="00E56A65" w:rsidRPr="00EC5AB6" w:rsidRDefault="00E56A65" w:rsidP="00E56A6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EC5A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7DBD20E1" w14:textId="77777777" w:rsidR="002134C3" w:rsidRPr="00EC5AB6" w:rsidRDefault="002134C3" w:rsidP="002134C3">
      <w:pPr>
        <w:spacing w:after="0" w:line="240" w:lineRule="auto"/>
        <w:ind w:right="-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ТОО «</w:t>
      </w:r>
      <w:r w:rsidRPr="00EC5AB6">
        <w:rPr>
          <w:rFonts w:ascii="Times New Roman" w:eastAsia="Times New Roman" w:hAnsi="Times New Roman"/>
          <w:sz w:val="24"/>
          <w:szCs w:val="24"/>
          <w:lang w:val="en-US" w:eastAsia="ru-RU"/>
        </w:rPr>
        <w:t>Vista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sz w:val="24"/>
          <w:szCs w:val="24"/>
          <w:lang w:val="en-US" w:eastAsia="ru-RU"/>
        </w:rPr>
        <w:t>Pharma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BA34D26" w14:textId="77777777" w:rsidR="002134C3" w:rsidRPr="00EC5AB6" w:rsidRDefault="002134C3" w:rsidP="002134C3">
      <w:pPr>
        <w:spacing w:after="0" w:line="240" w:lineRule="auto"/>
        <w:ind w:right="-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Республика Казахстан, город Алматы, Бостандыкский район, Проспект Аль-Фараби, дом 19, н.п. 6В</w:t>
      </w:r>
    </w:p>
    <w:p w14:paraId="22D39CEC" w14:textId="77777777" w:rsidR="002134C3" w:rsidRPr="00EC5AB6" w:rsidRDefault="002134C3" w:rsidP="002134C3">
      <w:pPr>
        <w:spacing w:after="0" w:line="240" w:lineRule="auto"/>
        <w:ind w:right="-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тел.: +77078990624, +77071781000</w:t>
      </w:r>
    </w:p>
    <w:p w14:paraId="2B37D5B7" w14:textId="77777777" w:rsidR="002134C3" w:rsidRPr="00EC5AB6" w:rsidRDefault="002134C3" w:rsidP="002134C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" w:right="-86" w:hanging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Microsoft Sans Serif" w:hAnsi="Times New Roman"/>
          <w:sz w:val="24"/>
          <w:szCs w:val="24"/>
          <w:lang w:eastAsia="ru-RU" w:bidi="ru-RU"/>
        </w:rPr>
        <w:t xml:space="preserve">адрес электронной почты: </w:t>
      </w:r>
      <w:hyperlink r:id="rId9" w:history="1">
        <w:r w:rsidRPr="00EC5AB6">
          <w:rPr>
            <w:rStyle w:val="af"/>
            <w:rFonts w:ascii="Times New Roman" w:hAnsi="Times New Roman"/>
            <w:sz w:val="24"/>
            <w:szCs w:val="24"/>
          </w:rPr>
          <w:t>info@vistalabs.net</w:t>
        </w:r>
      </w:hyperlink>
      <w:r w:rsidRPr="00EC5AB6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, </w:t>
      </w:r>
      <w:r w:rsidRPr="00EC5AB6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vistapharmapv@gmail.com</w:t>
      </w:r>
    </w:p>
    <w:p w14:paraId="180E8801" w14:textId="77777777" w:rsidR="002134C3" w:rsidRPr="00EC5AB6" w:rsidRDefault="002134C3" w:rsidP="002134C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843C86" w14:textId="77777777" w:rsidR="002134C3" w:rsidRPr="00EC5AB6" w:rsidRDefault="002134C3" w:rsidP="002134C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 ПРЕДСТАВИТЕЛЬ ДЕРЖАТЕЛЯ РЕГИСТРАЦИОННОГО УДОСТОВЕРЕНИЯ</w:t>
      </w:r>
    </w:p>
    <w:p w14:paraId="6C128FF5" w14:textId="77777777" w:rsidR="002134C3" w:rsidRPr="00EC5AB6" w:rsidRDefault="002134C3" w:rsidP="002134C3"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 w:bidi="ru-RU"/>
        </w:rPr>
      </w:pPr>
      <w:r w:rsidRPr="00EC5AB6">
        <w:rPr>
          <w:rFonts w:ascii="Times New Roman" w:eastAsia="Microsoft Sans Serif" w:hAnsi="Times New Roman"/>
          <w:sz w:val="24"/>
          <w:szCs w:val="24"/>
          <w:lang w:eastAsia="ru-RU" w:bidi="ru-RU"/>
        </w:rPr>
        <w:t>Претензии потребителей направлять по адресу:</w:t>
      </w:r>
    </w:p>
    <w:p w14:paraId="1F299B73" w14:textId="77777777" w:rsidR="002134C3" w:rsidRPr="00EC5AB6" w:rsidRDefault="002134C3" w:rsidP="002134C3">
      <w:pPr>
        <w:spacing w:after="0" w:line="240" w:lineRule="auto"/>
        <w:ind w:right="-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ТОО «</w:t>
      </w:r>
      <w:r w:rsidRPr="00EC5AB6">
        <w:rPr>
          <w:rFonts w:ascii="Times New Roman" w:eastAsia="Times New Roman" w:hAnsi="Times New Roman"/>
          <w:sz w:val="24"/>
          <w:szCs w:val="24"/>
          <w:lang w:val="en-US" w:eastAsia="ru-RU"/>
        </w:rPr>
        <w:t>Vista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sz w:val="24"/>
          <w:szCs w:val="24"/>
          <w:lang w:val="en-US" w:eastAsia="ru-RU"/>
        </w:rPr>
        <w:t>Pharma</w:t>
      </w: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1A3D49F2" w14:textId="77777777" w:rsidR="002134C3" w:rsidRPr="00EC5AB6" w:rsidRDefault="002134C3" w:rsidP="002134C3">
      <w:pPr>
        <w:spacing w:after="0" w:line="240" w:lineRule="auto"/>
        <w:ind w:right="-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Республика Казахстан, город Алматы, Бостандыкский район, Проспект Аль-Фараби, дом 19, н.п. 6В</w:t>
      </w:r>
    </w:p>
    <w:p w14:paraId="3C4A811C" w14:textId="77777777" w:rsidR="002134C3" w:rsidRPr="00EC5AB6" w:rsidRDefault="002134C3" w:rsidP="002134C3">
      <w:pPr>
        <w:spacing w:after="0" w:line="240" w:lineRule="auto"/>
        <w:ind w:right="-8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eastAsia="ru-RU"/>
        </w:rPr>
        <w:t>тел.: +77078990624, +77071781000</w:t>
      </w:r>
    </w:p>
    <w:p w14:paraId="1147F1DB" w14:textId="77777777" w:rsidR="002134C3" w:rsidRPr="00EC5AB6" w:rsidRDefault="002134C3" w:rsidP="002134C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" w:right="-86" w:hanging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Microsoft Sans Serif" w:hAnsi="Times New Roman"/>
          <w:sz w:val="24"/>
          <w:szCs w:val="24"/>
          <w:lang w:eastAsia="ru-RU" w:bidi="ru-RU"/>
        </w:rPr>
        <w:t xml:space="preserve">адрес электронной почты: </w:t>
      </w:r>
      <w:hyperlink r:id="rId10" w:history="1">
        <w:r w:rsidRPr="00EC5AB6">
          <w:rPr>
            <w:rStyle w:val="af"/>
            <w:rFonts w:ascii="Times New Roman" w:hAnsi="Times New Roman"/>
            <w:sz w:val="24"/>
            <w:szCs w:val="24"/>
          </w:rPr>
          <w:t>info@vistalabs.net</w:t>
        </w:r>
      </w:hyperlink>
      <w:r w:rsidRPr="00EC5AB6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EC5AB6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, </w:t>
      </w:r>
      <w:r w:rsidRPr="00EC5AB6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vistapharmapv@gmail.com</w:t>
      </w:r>
    </w:p>
    <w:p w14:paraId="2A38FEF8" w14:textId="77777777" w:rsidR="004D32F2" w:rsidRPr="00EC5AB6" w:rsidRDefault="004D32F2" w:rsidP="00D3112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9A2D75" w14:textId="77777777" w:rsidR="002511DF" w:rsidRPr="00EC5AB6" w:rsidRDefault="002511DF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14:paraId="20CED8A4" w14:textId="77777777" w:rsidR="00215CBB" w:rsidRPr="00EC5AB6" w:rsidRDefault="00E56A65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AB6">
        <w:rPr>
          <w:rFonts w:ascii="Times New Roman" w:eastAsia="Times New Roman" w:hAnsi="Times New Roman"/>
          <w:sz w:val="24"/>
          <w:szCs w:val="24"/>
          <w:lang w:val="uk-UA" w:eastAsia="ru-RU"/>
        </w:rPr>
        <w:t>РК-ЛС-5№024770</w:t>
      </w:r>
    </w:p>
    <w:p w14:paraId="3A59DE13" w14:textId="77777777" w:rsidR="00E56A65" w:rsidRPr="00EC5AB6" w:rsidRDefault="00E56A65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A95838" w14:textId="77777777" w:rsidR="002511DF" w:rsidRPr="00EC5AB6" w:rsidRDefault="002511DF" w:rsidP="0078568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C5AB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14:paraId="0FAA239B" w14:textId="77777777" w:rsidR="00AF4EC6" w:rsidRPr="00EC5AB6" w:rsidRDefault="00AF4EC6" w:rsidP="00AF4EC6">
      <w:pPr>
        <w:pStyle w:val="Style5"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EC5AB6">
        <w:rPr>
          <w:rFonts w:eastAsia="Microsoft Sans Serif"/>
          <w:lang w:bidi="ru-RU"/>
        </w:rPr>
        <w:t>Дата первой регистрации: 05.10.2020г.</w:t>
      </w:r>
    </w:p>
    <w:p w14:paraId="0D249AD3" w14:textId="77777777" w:rsidR="00E56A65" w:rsidRPr="00EC5AB6" w:rsidRDefault="00AF4EC6" w:rsidP="00AF4EC6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EC5AB6">
        <w:rPr>
          <w:rFonts w:eastAsia="Microsoft Sans Serif"/>
          <w:lang w:bidi="ru-RU"/>
        </w:rPr>
        <w:t>Дата последнего подтверждения регистрации (перерегистрации):</w:t>
      </w:r>
    </w:p>
    <w:p w14:paraId="505435E4" w14:textId="77777777" w:rsidR="00DF47EB" w:rsidRPr="00EC5AB6" w:rsidRDefault="00DF47EB" w:rsidP="00B91443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EC5AB6">
        <w:rPr>
          <w:rFonts w:ascii="Times New Roman" w:hAnsi="Times New Roman"/>
          <w:b/>
          <w:sz w:val="24"/>
          <w:szCs w:val="24"/>
        </w:rPr>
        <w:t xml:space="preserve">10. </w:t>
      </w:r>
      <w:r w:rsidRPr="00EC5AB6">
        <w:rPr>
          <w:rFonts w:ascii="Times New Roman" w:hAnsi="Times New Roman"/>
          <w:b/>
          <w:caps/>
          <w:sz w:val="24"/>
          <w:szCs w:val="24"/>
        </w:rPr>
        <w:t xml:space="preserve">Дата пересмотра текста </w:t>
      </w:r>
    </w:p>
    <w:p w14:paraId="49A4503B" w14:textId="77777777" w:rsidR="00B91443" w:rsidRPr="00EC5AB6" w:rsidRDefault="00B91443" w:rsidP="00724DB0">
      <w:pPr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bidi="ru-RU"/>
        </w:rPr>
      </w:pPr>
      <w:r w:rsidRPr="00EC5AB6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1" w:history="1">
        <w:r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EC5AB6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EC5AB6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r w:rsidRPr="00EC5AB6">
          <w:rPr>
            <w:rStyle w:val="af"/>
            <w:rFonts w:ascii="Times New Roman" w:hAnsi="Times New Roman"/>
            <w:sz w:val="24"/>
            <w:szCs w:val="24"/>
          </w:rPr>
          <w:t>.</w:t>
        </w:r>
        <w:r w:rsidRPr="00EC5AB6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</w:hyperlink>
      <w:r w:rsidRPr="00EC5AB6">
        <w:rPr>
          <w:rFonts w:ascii="Times New Roman" w:hAnsi="Times New Roman"/>
          <w:sz w:val="24"/>
          <w:szCs w:val="24"/>
        </w:rPr>
        <w:t xml:space="preserve"> </w:t>
      </w:r>
    </w:p>
    <w:sectPr w:rsidR="00B91443" w:rsidRPr="00EC5AB6" w:rsidSect="00F97B57">
      <w:head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F2CB8" w14:textId="77777777" w:rsidR="00604482" w:rsidRDefault="00604482" w:rsidP="00D275FC">
      <w:pPr>
        <w:spacing w:after="0" w:line="240" w:lineRule="auto"/>
      </w:pPr>
      <w:r>
        <w:separator/>
      </w:r>
    </w:p>
  </w:endnote>
  <w:endnote w:type="continuationSeparator" w:id="0">
    <w:p w14:paraId="724FA794" w14:textId="77777777" w:rsidR="00604482" w:rsidRDefault="00604482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BFC1A" w14:textId="77777777" w:rsidR="00604482" w:rsidRDefault="00604482" w:rsidP="00D275FC">
      <w:pPr>
        <w:spacing w:after="0" w:line="240" w:lineRule="auto"/>
      </w:pPr>
      <w:r>
        <w:separator/>
      </w:r>
    </w:p>
  </w:footnote>
  <w:footnote w:type="continuationSeparator" w:id="0">
    <w:p w14:paraId="38F3E870" w14:textId="77777777" w:rsidR="00604482" w:rsidRDefault="00604482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89CBA" w14:textId="77777777" w:rsidR="00D275FC" w:rsidRDefault="00A5145B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F66C1B4" wp14:editId="54220C54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3FC8C2" w14:textId="77777777"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66C1B4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14:paraId="393FC8C2" w14:textId="77777777"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Description: BT_1000x858px" style="width:16.5pt;height:14.25pt;visibility:visible" o:bullet="t">
        <v:imagedata r:id="rId1" o:title=" BT_1000x858px"/>
      </v:shape>
    </w:pict>
  </w:numPicBullet>
  <w:abstractNum w:abstractNumId="0" w15:restartNumberingAfterBreak="0">
    <w:nsid w:val="02DB4B73"/>
    <w:multiLevelType w:val="hybridMultilevel"/>
    <w:tmpl w:val="6C2AFAB6"/>
    <w:lvl w:ilvl="0" w:tplc="E04C43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A85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6B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0E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E3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B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0C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B80D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3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9"/>
  </w:num>
  <w:num w:numId="5">
    <w:abstractNumId w:val="24"/>
  </w:num>
  <w:num w:numId="6">
    <w:abstractNumId w:val="6"/>
  </w:num>
  <w:num w:numId="7">
    <w:abstractNumId w:val="22"/>
  </w:num>
  <w:num w:numId="8">
    <w:abstractNumId w:val="8"/>
  </w:num>
  <w:num w:numId="9">
    <w:abstractNumId w:val="16"/>
  </w:num>
  <w:num w:numId="10">
    <w:abstractNumId w:val="9"/>
  </w:num>
  <w:num w:numId="11">
    <w:abstractNumId w:val="15"/>
  </w:num>
  <w:num w:numId="12">
    <w:abstractNumId w:val="18"/>
  </w:num>
  <w:num w:numId="13">
    <w:abstractNumId w:val="20"/>
  </w:num>
  <w:num w:numId="14">
    <w:abstractNumId w:val="12"/>
  </w:num>
  <w:num w:numId="15">
    <w:abstractNumId w:val="1"/>
  </w:num>
  <w:num w:numId="16">
    <w:abstractNumId w:val="23"/>
  </w:num>
  <w:num w:numId="17">
    <w:abstractNumId w:val="14"/>
  </w:num>
  <w:num w:numId="18">
    <w:abstractNumId w:val="13"/>
  </w:num>
  <w:num w:numId="19">
    <w:abstractNumId w:val="7"/>
  </w:num>
  <w:num w:numId="20">
    <w:abstractNumId w:val="2"/>
  </w:num>
  <w:num w:numId="21">
    <w:abstractNumId w:val="10"/>
  </w:num>
  <w:num w:numId="22">
    <w:abstractNumId w:val="5"/>
  </w:num>
  <w:num w:numId="23">
    <w:abstractNumId w:val="21"/>
  </w:num>
  <w:num w:numId="24">
    <w:abstractNumId w:val="1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048"/>
    <w:rsid w:val="00004C99"/>
    <w:rsid w:val="00010371"/>
    <w:rsid w:val="0002049D"/>
    <w:rsid w:val="000264BB"/>
    <w:rsid w:val="00026A9C"/>
    <w:rsid w:val="0002707D"/>
    <w:rsid w:val="00031BF9"/>
    <w:rsid w:val="00033FC1"/>
    <w:rsid w:val="00042999"/>
    <w:rsid w:val="0005238D"/>
    <w:rsid w:val="00057A2D"/>
    <w:rsid w:val="000852A1"/>
    <w:rsid w:val="000972E6"/>
    <w:rsid w:val="000A0D71"/>
    <w:rsid w:val="000A15B0"/>
    <w:rsid w:val="000A272B"/>
    <w:rsid w:val="000C2C4B"/>
    <w:rsid w:val="000C3EBE"/>
    <w:rsid w:val="000C4C48"/>
    <w:rsid w:val="000D184E"/>
    <w:rsid w:val="000D457D"/>
    <w:rsid w:val="000E01AB"/>
    <w:rsid w:val="000E153C"/>
    <w:rsid w:val="000E3634"/>
    <w:rsid w:val="000E49F0"/>
    <w:rsid w:val="000E6126"/>
    <w:rsid w:val="000F08BD"/>
    <w:rsid w:val="00100406"/>
    <w:rsid w:val="00102EBC"/>
    <w:rsid w:val="00107A8A"/>
    <w:rsid w:val="00111788"/>
    <w:rsid w:val="00120934"/>
    <w:rsid w:val="00123DB5"/>
    <w:rsid w:val="00125232"/>
    <w:rsid w:val="00132B9A"/>
    <w:rsid w:val="001368AE"/>
    <w:rsid w:val="00144855"/>
    <w:rsid w:val="00144CCD"/>
    <w:rsid w:val="0014699B"/>
    <w:rsid w:val="0014739A"/>
    <w:rsid w:val="00147AEB"/>
    <w:rsid w:val="0015490C"/>
    <w:rsid w:val="001573E2"/>
    <w:rsid w:val="0016278D"/>
    <w:rsid w:val="00164E5D"/>
    <w:rsid w:val="00165390"/>
    <w:rsid w:val="00185E57"/>
    <w:rsid w:val="001872CE"/>
    <w:rsid w:val="001922F9"/>
    <w:rsid w:val="001937AD"/>
    <w:rsid w:val="001A2CB2"/>
    <w:rsid w:val="001A3A84"/>
    <w:rsid w:val="001B6AEC"/>
    <w:rsid w:val="001C65E1"/>
    <w:rsid w:val="001D0B84"/>
    <w:rsid w:val="001D725C"/>
    <w:rsid w:val="001E5E2A"/>
    <w:rsid w:val="001E6F4C"/>
    <w:rsid w:val="001F16AA"/>
    <w:rsid w:val="001F3EE1"/>
    <w:rsid w:val="00200F3B"/>
    <w:rsid w:val="00203355"/>
    <w:rsid w:val="0020414E"/>
    <w:rsid w:val="00211005"/>
    <w:rsid w:val="0021309A"/>
    <w:rsid w:val="002134C3"/>
    <w:rsid w:val="00215CBB"/>
    <w:rsid w:val="00217D41"/>
    <w:rsid w:val="002222A9"/>
    <w:rsid w:val="00222CA6"/>
    <w:rsid w:val="00232642"/>
    <w:rsid w:val="00237697"/>
    <w:rsid w:val="002410EA"/>
    <w:rsid w:val="00250EDB"/>
    <w:rsid w:val="002511DF"/>
    <w:rsid w:val="00253209"/>
    <w:rsid w:val="00256E10"/>
    <w:rsid w:val="00260413"/>
    <w:rsid w:val="00260EBC"/>
    <w:rsid w:val="00264710"/>
    <w:rsid w:val="00264A6E"/>
    <w:rsid w:val="00267567"/>
    <w:rsid w:val="00270B0A"/>
    <w:rsid w:val="002713C3"/>
    <w:rsid w:val="00280121"/>
    <w:rsid w:val="00281FBE"/>
    <w:rsid w:val="002879FF"/>
    <w:rsid w:val="00290D2E"/>
    <w:rsid w:val="00292412"/>
    <w:rsid w:val="00292715"/>
    <w:rsid w:val="002A4FB1"/>
    <w:rsid w:val="002A591C"/>
    <w:rsid w:val="002B7A94"/>
    <w:rsid w:val="002C10E1"/>
    <w:rsid w:val="002C15EB"/>
    <w:rsid w:val="002C1660"/>
    <w:rsid w:val="002C33C8"/>
    <w:rsid w:val="002C35A2"/>
    <w:rsid w:val="002C3675"/>
    <w:rsid w:val="002C5345"/>
    <w:rsid w:val="002D56B7"/>
    <w:rsid w:val="002E04B7"/>
    <w:rsid w:val="002E0BAD"/>
    <w:rsid w:val="002F329D"/>
    <w:rsid w:val="002F4A14"/>
    <w:rsid w:val="003043BF"/>
    <w:rsid w:val="00320073"/>
    <w:rsid w:val="003262DF"/>
    <w:rsid w:val="00332951"/>
    <w:rsid w:val="00333484"/>
    <w:rsid w:val="00337C76"/>
    <w:rsid w:val="0034682B"/>
    <w:rsid w:val="00356237"/>
    <w:rsid w:val="0036288F"/>
    <w:rsid w:val="00365B10"/>
    <w:rsid w:val="00367BA7"/>
    <w:rsid w:val="00372082"/>
    <w:rsid w:val="003761C0"/>
    <w:rsid w:val="00381140"/>
    <w:rsid w:val="003812B2"/>
    <w:rsid w:val="00383CDB"/>
    <w:rsid w:val="00384EFD"/>
    <w:rsid w:val="0038595A"/>
    <w:rsid w:val="003879F9"/>
    <w:rsid w:val="003976C7"/>
    <w:rsid w:val="003A035E"/>
    <w:rsid w:val="003A38B5"/>
    <w:rsid w:val="003A577F"/>
    <w:rsid w:val="003A5D1F"/>
    <w:rsid w:val="003A635A"/>
    <w:rsid w:val="003B0285"/>
    <w:rsid w:val="003B2C06"/>
    <w:rsid w:val="003C07E3"/>
    <w:rsid w:val="003C2D61"/>
    <w:rsid w:val="003C659E"/>
    <w:rsid w:val="003D1C14"/>
    <w:rsid w:val="003D7780"/>
    <w:rsid w:val="003E13CF"/>
    <w:rsid w:val="003E4F5E"/>
    <w:rsid w:val="003F5344"/>
    <w:rsid w:val="003F7EDC"/>
    <w:rsid w:val="00404548"/>
    <w:rsid w:val="004107D3"/>
    <w:rsid w:val="0041162E"/>
    <w:rsid w:val="004125D8"/>
    <w:rsid w:val="00416507"/>
    <w:rsid w:val="004200EA"/>
    <w:rsid w:val="0042786D"/>
    <w:rsid w:val="00433C62"/>
    <w:rsid w:val="00452816"/>
    <w:rsid w:val="004528E1"/>
    <w:rsid w:val="00456F01"/>
    <w:rsid w:val="00472EF5"/>
    <w:rsid w:val="00475673"/>
    <w:rsid w:val="0048687C"/>
    <w:rsid w:val="00487348"/>
    <w:rsid w:val="0049318D"/>
    <w:rsid w:val="004A31B4"/>
    <w:rsid w:val="004A7038"/>
    <w:rsid w:val="004C1450"/>
    <w:rsid w:val="004C1922"/>
    <w:rsid w:val="004C336F"/>
    <w:rsid w:val="004C462F"/>
    <w:rsid w:val="004C6613"/>
    <w:rsid w:val="004D32F2"/>
    <w:rsid w:val="004D49E9"/>
    <w:rsid w:val="004F45AC"/>
    <w:rsid w:val="00501657"/>
    <w:rsid w:val="00506C9D"/>
    <w:rsid w:val="005071DA"/>
    <w:rsid w:val="00523D82"/>
    <w:rsid w:val="00527017"/>
    <w:rsid w:val="00541A00"/>
    <w:rsid w:val="005444B2"/>
    <w:rsid w:val="00552F31"/>
    <w:rsid w:val="00552F8B"/>
    <w:rsid w:val="00556E6A"/>
    <w:rsid w:val="00561FE7"/>
    <w:rsid w:val="00564597"/>
    <w:rsid w:val="00566737"/>
    <w:rsid w:val="00567153"/>
    <w:rsid w:val="00575348"/>
    <w:rsid w:val="0058508F"/>
    <w:rsid w:val="005869C5"/>
    <w:rsid w:val="005921EA"/>
    <w:rsid w:val="005924F5"/>
    <w:rsid w:val="00593F7B"/>
    <w:rsid w:val="005A2EA9"/>
    <w:rsid w:val="005A3C81"/>
    <w:rsid w:val="005A5680"/>
    <w:rsid w:val="005A6639"/>
    <w:rsid w:val="005A6914"/>
    <w:rsid w:val="005B3FFE"/>
    <w:rsid w:val="005C1519"/>
    <w:rsid w:val="005C1C4E"/>
    <w:rsid w:val="005C4994"/>
    <w:rsid w:val="005C4A16"/>
    <w:rsid w:val="005C534E"/>
    <w:rsid w:val="005D66F3"/>
    <w:rsid w:val="005D68C6"/>
    <w:rsid w:val="005D7EE3"/>
    <w:rsid w:val="005E50DE"/>
    <w:rsid w:val="005E7569"/>
    <w:rsid w:val="005E76DA"/>
    <w:rsid w:val="005F7097"/>
    <w:rsid w:val="0060364A"/>
    <w:rsid w:val="00604482"/>
    <w:rsid w:val="00604FC8"/>
    <w:rsid w:val="00617843"/>
    <w:rsid w:val="00620F34"/>
    <w:rsid w:val="0062175F"/>
    <w:rsid w:val="00623F55"/>
    <w:rsid w:val="00624C1B"/>
    <w:rsid w:val="00625471"/>
    <w:rsid w:val="0062661D"/>
    <w:rsid w:val="00627853"/>
    <w:rsid w:val="00632571"/>
    <w:rsid w:val="00634D0C"/>
    <w:rsid w:val="0065148D"/>
    <w:rsid w:val="00652BCE"/>
    <w:rsid w:val="00652E29"/>
    <w:rsid w:val="00653617"/>
    <w:rsid w:val="00655F37"/>
    <w:rsid w:val="006576F2"/>
    <w:rsid w:val="006619C8"/>
    <w:rsid w:val="0067136B"/>
    <w:rsid w:val="00677FAC"/>
    <w:rsid w:val="00691208"/>
    <w:rsid w:val="006A23C4"/>
    <w:rsid w:val="006A702E"/>
    <w:rsid w:val="006B1751"/>
    <w:rsid w:val="006B4662"/>
    <w:rsid w:val="006B7A90"/>
    <w:rsid w:val="006C5F38"/>
    <w:rsid w:val="006D5986"/>
    <w:rsid w:val="006D7D5A"/>
    <w:rsid w:val="006E4305"/>
    <w:rsid w:val="006E5A9F"/>
    <w:rsid w:val="006F5763"/>
    <w:rsid w:val="00704BAB"/>
    <w:rsid w:val="007104D1"/>
    <w:rsid w:val="007135A6"/>
    <w:rsid w:val="00720862"/>
    <w:rsid w:val="00723B32"/>
    <w:rsid w:val="00724DB0"/>
    <w:rsid w:val="00725BD2"/>
    <w:rsid w:val="00726BD3"/>
    <w:rsid w:val="00730461"/>
    <w:rsid w:val="00733A73"/>
    <w:rsid w:val="00743467"/>
    <w:rsid w:val="00746A87"/>
    <w:rsid w:val="00746FF2"/>
    <w:rsid w:val="007479AE"/>
    <w:rsid w:val="007544F0"/>
    <w:rsid w:val="00761133"/>
    <w:rsid w:val="00762155"/>
    <w:rsid w:val="00763369"/>
    <w:rsid w:val="00764E84"/>
    <w:rsid w:val="0076642B"/>
    <w:rsid w:val="007762F8"/>
    <w:rsid w:val="007808BB"/>
    <w:rsid w:val="00783520"/>
    <w:rsid w:val="007843BA"/>
    <w:rsid w:val="0078568D"/>
    <w:rsid w:val="007A02D3"/>
    <w:rsid w:val="007A18B1"/>
    <w:rsid w:val="007B011E"/>
    <w:rsid w:val="007C0031"/>
    <w:rsid w:val="007C055A"/>
    <w:rsid w:val="007C1693"/>
    <w:rsid w:val="007D0E84"/>
    <w:rsid w:val="007D681B"/>
    <w:rsid w:val="007E1D85"/>
    <w:rsid w:val="007E5E71"/>
    <w:rsid w:val="008010D5"/>
    <w:rsid w:val="00803517"/>
    <w:rsid w:val="00804A48"/>
    <w:rsid w:val="008106A7"/>
    <w:rsid w:val="0081154A"/>
    <w:rsid w:val="00814DFC"/>
    <w:rsid w:val="00820B36"/>
    <w:rsid w:val="00827BB2"/>
    <w:rsid w:val="008329DA"/>
    <w:rsid w:val="00832A7E"/>
    <w:rsid w:val="008330E7"/>
    <w:rsid w:val="008353A4"/>
    <w:rsid w:val="008407EF"/>
    <w:rsid w:val="008418F5"/>
    <w:rsid w:val="00844127"/>
    <w:rsid w:val="008451C8"/>
    <w:rsid w:val="00847154"/>
    <w:rsid w:val="008621D7"/>
    <w:rsid w:val="00862FA8"/>
    <w:rsid w:val="0086657B"/>
    <w:rsid w:val="0087104B"/>
    <w:rsid w:val="0087465A"/>
    <w:rsid w:val="008832E5"/>
    <w:rsid w:val="008872AB"/>
    <w:rsid w:val="00891EB8"/>
    <w:rsid w:val="00893117"/>
    <w:rsid w:val="0089401D"/>
    <w:rsid w:val="00895628"/>
    <w:rsid w:val="00897669"/>
    <w:rsid w:val="008C0181"/>
    <w:rsid w:val="008C6434"/>
    <w:rsid w:val="008D0B8D"/>
    <w:rsid w:val="008D4451"/>
    <w:rsid w:val="008D62B7"/>
    <w:rsid w:val="008E19AE"/>
    <w:rsid w:val="008E6895"/>
    <w:rsid w:val="008F0721"/>
    <w:rsid w:val="008F27C2"/>
    <w:rsid w:val="008F794E"/>
    <w:rsid w:val="00900B3C"/>
    <w:rsid w:val="00904FB5"/>
    <w:rsid w:val="0091136C"/>
    <w:rsid w:val="009128A3"/>
    <w:rsid w:val="00914426"/>
    <w:rsid w:val="009305DA"/>
    <w:rsid w:val="00930D7D"/>
    <w:rsid w:val="00934E99"/>
    <w:rsid w:val="0095047E"/>
    <w:rsid w:val="00956101"/>
    <w:rsid w:val="00957BAF"/>
    <w:rsid w:val="00962CD6"/>
    <w:rsid w:val="00970DD1"/>
    <w:rsid w:val="00974EE1"/>
    <w:rsid w:val="00980ED0"/>
    <w:rsid w:val="00985916"/>
    <w:rsid w:val="00986783"/>
    <w:rsid w:val="00993A60"/>
    <w:rsid w:val="009A713F"/>
    <w:rsid w:val="009B014E"/>
    <w:rsid w:val="009C229A"/>
    <w:rsid w:val="009D67EC"/>
    <w:rsid w:val="009D71D5"/>
    <w:rsid w:val="009E2887"/>
    <w:rsid w:val="009E56D6"/>
    <w:rsid w:val="009E5CB9"/>
    <w:rsid w:val="009F07F5"/>
    <w:rsid w:val="009F22EA"/>
    <w:rsid w:val="009F31F2"/>
    <w:rsid w:val="009F45A5"/>
    <w:rsid w:val="009F58C4"/>
    <w:rsid w:val="009F5A85"/>
    <w:rsid w:val="009F72B0"/>
    <w:rsid w:val="00A01C2E"/>
    <w:rsid w:val="00A02BB2"/>
    <w:rsid w:val="00A04052"/>
    <w:rsid w:val="00A0709E"/>
    <w:rsid w:val="00A074C5"/>
    <w:rsid w:val="00A07B7D"/>
    <w:rsid w:val="00A12563"/>
    <w:rsid w:val="00A2498C"/>
    <w:rsid w:val="00A26BB4"/>
    <w:rsid w:val="00A300B9"/>
    <w:rsid w:val="00A31019"/>
    <w:rsid w:val="00A33B65"/>
    <w:rsid w:val="00A379DE"/>
    <w:rsid w:val="00A40229"/>
    <w:rsid w:val="00A44CBC"/>
    <w:rsid w:val="00A459B4"/>
    <w:rsid w:val="00A4672E"/>
    <w:rsid w:val="00A5145B"/>
    <w:rsid w:val="00A8360A"/>
    <w:rsid w:val="00A84DE2"/>
    <w:rsid w:val="00A84EA1"/>
    <w:rsid w:val="00A93354"/>
    <w:rsid w:val="00A9733C"/>
    <w:rsid w:val="00AA4618"/>
    <w:rsid w:val="00AA5E2F"/>
    <w:rsid w:val="00AA7317"/>
    <w:rsid w:val="00AB7301"/>
    <w:rsid w:val="00AC0736"/>
    <w:rsid w:val="00AC2C0B"/>
    <w:rsid w:val="00AC43CA"/>
    <w:rsid w:val="00AC485F"/>
    <w:rsid w:val="00AC4905"/>
    <w:rsid w:val="00AE7922"/>
    <w:rsid w:val="00AF056B"/>
    <w:rsid w:val="00AF4EC6"/>
    <w:rsid w:val="00AF52F1"/>
    <w:rsid w:val="00B01011"/>
    <w:rsid w:val="00B05BD1"/>
    <w:rsid w:val="00B10089"/>
    <w:rsid w:val="00B15E36"/>
    <w:rsid w:val="00B1744F"/>
    <w:rsid w:val="00B21CF0"/>
    <w:rsid w:val="00B22E50"/>
    <w:rsid w:val="00B34D36"/>
    <w:rsid w:val="00B43EFA"/>
    <w:rsid w:val="00B4595A"/>
    <w:rsid w:val="00B46F30"/>
    <w:rsid w:val="00B608C1"/>
    <w:rsid w:val="00B60D3D"/>
    <w:rsid w:val="00B61D95"/>
    <w:rsid w:val="00B61E32"/>
    <w:rsid w:val="00B71516"/>
    <w:rsid w:val="00B7231F"/>
    <w:rsid w:val="00B862B0"/>
    <w:rsid w:val="00B90A1E"/>
    <w:rsid w:val="00B91443"/>
    <w:rsid w:val="00B9187F"/>
    <w:rsid w:val="00BA2BF3"/>
    <w:rsid w:val="00BB111F"/>
    <w:rsid w:val="00BB3050"/>
    <w:rsid w:val="00BB7831"/>
    <w:rsid w:val="00BC0E5C"/>
    <w:rsid w:val="00BC31BC"/>
    <w:rsid w:val="00BC6167"/>
    <w:rsid w:val="00BC6A01"/>
    <w:rsid w:val="00BD2D13"/>
    <w:rsid w:val="00BE198F"/>
    <w:rsid w:val="00BE4435"/>
    <w:rsid w:val="00BE6B71"/>
    <w:rsid w:val="00C07BB3"/>
    <w:rsid w:val="00C153F2"/>
    <w:rsid w:val="00C2000E"/>
    <w:rsid w:val="00C25149"/>
    <w:rsid w:val="00C25DE4"/>
    <w:rsid w:val="00C34910"/>
    <w:rsid w:val="00C379C9"/>
    <w:rsid w:val="00C422B8"/>
    <w:rsid w:val="00C54E42"/>
    <w:rsid w:val="00C566D6"/>
    <w:rsid w:val="00C71E57"/>
    <w:rsid w:val="00C764D9"/>
    <w:rsid w:val="00C77910"/>
    <w:rsid w:val="00C839ED"/>
    <w:rsid w:val="00C84299"/>
    <w:rsid w:val="00C92F14"/>
    <w:rsid w:val="00C93BA0"/>
    <w:rsid w:val="00C94B98"/>
    <w:rsid w:val="00C97365"/>
    <w:rsid w:val="00CA4AE9"/>
    <w:rsid w:val="00CA4C1A"/>
    <w:rsid w:val="00CB6270"/>
    <w:rsid w:val="00CC08BA"/>
    <w:rsid w:val="00CC15D5"/>
    <w:rsid w:val="00CC330A"/>
    <w:rsid w:val="00CC5727"/>
    <w:rsid w:val="00CC7A05"/>
    <w:rsid w:val="00CC7DBD"/>
    <w:rsid w:val="00CD6935"/>
    <w:rsid w:val="00CE03ED"/>
    <w:rsid w:val="00CE7F7F"/>
    <w:rsid w:val="00CF3849"/>
    <w:rsid w:val="00D0233C"/>
    <w:rsid w:val="00D041C3"/>
    <w:rsid w:val="00D11462"/>
    <w:rsid w:val="00D14D61"/>
    <w:rsid w:val="00D22A47"/>
    <w:rsid w:val="00D25CB4"/>
    <w:rsid w:val="00D275FC"/>
    <w:rsid w:val="00D3112C"/>
    <w:rsid w:val="00D3279D"/>
    <w:rsid w:val="00D3576E"/>
    <w:rsid w:val="00D43297"/>
    <w:rsid w:val="00D46B0B"/>
    <w:rsid w:val="00D518BE"/>
    <w:rsid w:val="00D52CC4"/>
    <w:rsid w:val="00D55ED8"/>
    <w:rsid w:val="00D60C5A"/>
    <w:rsid w:val="00D70DB6"/>
    <w:rsid w:val="00D723BC"/>
    <w:rsid w:val="00D76048"/>
    <w:rsid w:val="00D76ABD"/>
    <w:rsid w:val="00D93C80"/>
    <w:rsid w:val="00D9686A"/>
    <w:rsid w:val="00D96A8F"/>
    <w:rsid w:val="00DA16F7"/>
    <w:rsid w:val="00DB406A"/>
    <w:rsid w:val="00DB7FB0"/>
    <w:rsid w:val="00DD5E3A"/>
    <w:rsid w:val="00DE4FC7"/>
    <w:rsid w:val="00DF11A7"/>
    <w:rsid w:val="00DF3381"/>
    <w:rsid w:val="00DF47EB"/>
    <w:rsid w:val="00E211ED"/>
    <w:rsid w:val="00E271CB"/>
    <w:rsid w:val="00E301D0"/>
    <w:rsid w:val="00E317B2"/>
    <w:rsid w:val="00E33FE3"/>
    <w:rsid w:val="00E34FE3"/>
    <w:rsid w:val="00E429BA"/>
    <w:rsid w:val="00E55D6C"/>
    <w:rsid w:val="00E56A65"/>
    <w:rsid w:val="00E57396"/>
    <w:rsid w:val="00E75FFF"/>
    <w:rsid w:val="00E81A1B"/>
    <w:rsid w:val="00E81A86"/>
    <w:rsid w:val="00E85A7A"/>
    <w:rsid w:val="00E8607B"/>
    <w:rsid w:val="00E91073"/>
    <w:rsid w:val="00E93583"/>
    <w:rsid w:val="00EA0359"/>
    <w:rsid w:val="00EA2F86"/>
    <w:rsid w:val="00EA303C"/>
    <w:rsid w:val="00EA6D39"/>
    <w:rsid w:val="00EB1D97"/>
    <w:rsid w:val="00EB32A3"/>
    <w:rsid w:val="00EB41C1"/>
    <w:rsid w:val="00EB5ADC"/>
    <w:rsid w:val="00EB657A"/>
    <w:rsid w:val="00EB73B7"/>
    <w:rsid w:val="00EC480E"/>
    <w:rsid w:val="00EC4E42"/>
    <w:rsid w:val="00EC5AB6"/>
    <w:rsid w:val="00ED4BC6"/>
    <w:rsid w:val="00ED715E"/>
    <w:rsid w:val="00EE04FB"/>
    <w:rsid w:val="00EE2C77"/>
    <w:rsid w:val="00EE4628"/>
    <w:rsid w:val="00EE4638"/>
    <w:rsid w:val="00EF4C53"/>
    <w:rsid w:val="00F006F1"/>
    <w:rsid w:val="00F05540"/>
    <w:rsid w:val="00F07B7B"/>
    <w:rsid w:val="00F22E8A"/>
    <w:rsid w:val="00F23B95"/>
    <w:rsid w:val="00F30418"/>
    <w:rsid w:val="00F34699"/>
    <w:rsid w:val="00F35761"/>
    <w:rsid w:val="00F40388"/>
    <w:rsid w:val="00F42D3C"/>
    <w:rsid w:val="00F56F75"/>
    <w:rsid w:val="00F6012B"/>
    <w:rsid w:val="00F63389"/>
    <w:rsid w:val="00F665E0"/>
    <w:rsid w:val="00F72D29"/>
    <w:rsid w:val="00F73961"/>
    <w:rsid w:val="00F76A4A"/>
    <w:rsid w:val="00F91977"/>
    <w:rsid w:val="00F97B57"/>
    <w:rsid w:val="00FA4F7C"/>
    <w:rsid w:val="00FB0456"/>
    <w:rsid w:val="00FB47F4"/>
    <w:rsid w:val="00FC17F4"/>
    <w:rsid w:val="00FD2B12"/>
    <w:rsid w:val="00FD2B9F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7AE5B8"/>
  <w15:docId w15:val="{0930B610-3E06-4A55-8A02-8653E9C4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3B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afa">
    <w:name w:val="Знак Знак Знак Знак Знак Знак Знак Знак Знак Знак"/>
    <w:basedOn w:val="a"/>
    <w:autoRedefine/>
    <w:rsid w:val="003C2D61"/>
    <w:pPr>
      <w:spacing w:after="160" w:line="360" w:lineRule="auto"/>
      <w:jc w:val="center"/>
    </w:pPr>
    <w:rPr>
      <w:rFonts w:ascii="Times New Roman" w:eastAsia="Times New Roman" w:hAnsi="Times New Roman"/>
      <w:lang w:eastAsia="ru-RU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76642B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76642B"/>
    <w:rPr>
      <w:rFonts w:ascii="Times New Roman" w:eastAsia="Times New Roman" w:hAnsi="Times New Roman" w:cs="Arial Unicode MS"/>
      <w:b/>
      <w:bCs/>
      <w:lang w:val="en-GB" w:eastAsia="en-US"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vistalab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vistalabs.ne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86921-9B5B-4238-A3D0-50EE865ED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4187</Words>
  <Characters>23867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27999</CharactersWithSpaces>
  <SharedDoc>false</SharedDoc>
  <HLinks>
    <vt:vector size="12" baseType="variant"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Алтынай М. Косалбаева</cp:lastModifiedBy>
  <cp:revision>2</cp:revision>
  <cp:lastPrinted>2019-11-18T06:17:00Z</cp:lastPrinted>
  <dcterms:created xsi:type="dcterms:W3CDTF">2025-11-08T11:26:00Z</dcterms:created>
  <dcterms:modified xsi:type="dcterms:W3CDTF">2025-11-08T11:26:00Z</dcterms:modified>
</cp:coreProperties>
</file>